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73" w:type="dxa"/>
        <w:tblLayout w:type="fixed"/>
        <w:tblCellMar>
          <w:left w:w="0" w:type="dxa"/>
          <w:right w:w="0" w:type="dxa"/>
        </w:tblCellMar>
        <w:tblLook w:val="0000" w:firstRow="0" w:lastRow="0" w:firstColumn="0" w:lastColumn="0" w:noHBand="0" w:noVBand="0"/>
      </w:tblPr>
      <w:tblGrid>
        <w:gridCol w:w="3380"/>
        <w:gridCol w:w="1893"/>
      </w:tblGrid>
      <w:tr w:rsidR="004120A0" w:rsidRPr="009C1A50" w14:paraId="0A379876" w14:textId="77777777">
        <w:tc>
          <w:tcPr>
            <w:tcW w:w="3380" w:type="dxa"/>
          </w:tcPr>
          <w:p w14:paraId="642CD07B" w14:textId="77777777" w:rsidR="004120A0" w:rsidRPr="009C1A50" w:rsidRDefault="004120A0" w:rsidP="009C1A50">
            <w:pPr>
              <w:pStyle w:val="Brdtexthuvud"/>
              <w:framePr w:w="5273" w:hSpace="0" w:wrap="around" w:x="6601" w:y="568"/>
              <w:spacing w:line="276" w:lineRule="auto"/>
              <w:rPr>
                <w:rFonts w:ascii="Garamond" w:hAnsi="Garamond"/>
              </w:rPr>
            </w:pPr>
            <w:r w:rsidRPr="009C1A50">
              <w:rPr>
                <w:rFonts w:ascii="Garamond" w:hAnsi="Garamond"/>
              </w:rPr>
              <w:t xml:space="preserve">  </w:t>
            </w:r>
          </w:p>
        </w:tc>
        <w:tc>
          <w:tcPr>
            <w:tcW w:w="1893" w:type="dxa"/>
          </w:tcPr>
          <w:p w14:paraId="2646EE7A" w14:textId="77777777" w:rsidR="004120A0" w:rsidRPr="009C1A50" w:rsidRDefault="004120A0" w:rsidP="009C1A50">
            <w:pPr>
              <w:pStyle w:val="Brdtexthuvud"/>
              <w:framePr w:w="5273" w:hSpace="0" w:wrap="around" w:x="6601" w:y="568"/>
              <w:spacing w:line="276" w:lineRule="auto"/>
              <w:rPr>
                <w:rFonts w:ascii="Garamond" w:hAnsi="Garamond"/>
              </w:rPr>
            </w:pPr>
            <w:bookmarkStart w:id="0" w:name="UDsidan"/>
            <w:bookmarkEnd w:id="0"/>
          </w:p>
        </w:tc>
      </w:tr>
      <w:tr w:rsidR="004120A0" w:rsidRPr="009C1A50" w14:paraId="5B1F7D36" w14:textId="77777777">
        <w:tc>
          <w:tcPr>
            <w:tcW w:w="3380" w:type="dxa"/>
          </w:tcPr>
          <w:p w14:paraId="11E0AE0D" w14:textId="77777777" w:rsidR="004120A0" w:rsidRPr="009C1A50" w:rsidRDefault="00F17E61" w:rsidP="009C1A50">
            <w:pPr>
              <w:pStyle w:val="Brdtexthuvud"/>
              <w:framePr w:w="5273" w:hSpace="0" w:wrap="around" w:x="6601" w:y="568"/>
              <w:spacing w:line="276" w:lineRule="auto"/>
              <w:rPr>
                <w:rFonts w:ascii="Garamond" w:hAnsi="Garamond"/>
                <w:b/>
              </w:rPr>
            </w:pPr>
            <w:bookmarkStart w:id="1" w:name="eva"/>
            <w:bookmarkEnd w:id="1"/>
            <w:r w:rsidRPr="009C1A50">
              <w:rPr>
                <w:rFonts w:ascii="Garamond" w:hAnsi="Garamond"/>
                <w:b/>
              </w:rPr>
              <w:t>PM</w:t>
            </w:r>
            <w:r w:rsidR="004120A0" w:rsidRPr="009C1A50">
              <w:rPr>
                <w:rFonts w:ascii="Garamond" w:hAnsi="Garamond"/>
                <w:b/>
              </w:rPr>
              <w:t xml:space="preserve"> </w:t>
            </w:r>
            <w:bookmarkStart w:id="2" w:name="TelemMeddnr"/>
            <w:bookmarkEnd w:id="2"/>
            <w:r w:rsidR="004120A0" w:rsidRPr="009C1A50">
              <w:rPr>
                <w:rFonts w:ascii="Garamond" w:hAnsi="Garamond"/>
                <w:b/>
              </w:rPr>
              <w:t xml:space="preserve"> </w:t>
            </w:r>
            <w:bookmarkStart w:id="3" w:name="TelemMeddnrEnd"/>
            <w:bookmarkEnd w:id="3"/>
          </w:p>
        </w:tc>
        <w:tc>
          <w:tcPr>
            <w:tcW w:w="1893" w:type="dxa"/>
          </w:tcPr>
          <w:p w14:paraId="7381F1A0" w14:textId="3A556E6C" w:rsidR="004120A0" w:rsidRPr="009C1A50" w:rsidRDefault="00A64400" w:rsidP="009C1A50">
            <w:pPr>
              <w:pStyle w:val="Brdtexthuvud"/>
              <w:framePr w:w="5273" w:hSpace="0" w:wrap="around" w:x="6601" w:y="568"/>
              <w:spacing w:line="276" w:lineRule="auto"/>
              <w:rPr>
                <w:rFonts w:ascii="Garamond" w:hAnsi="Garamond"/>
              </w:rPr>
            </w:pPr>
            <w:bookmarkStart w:id="4" w:name="UDnr"/>
            <w:bookmarkStart w:id="5" w:name="UDPage"/>
            <w:bookmarkEnd w:id="4"/>
            <w:bookmarkEnd w:id="5"/>
            <w:r w:rsidRPr="009C1A50">
              <w:rPr>
                <w:rFonts w:ascii="Garamond" w:hAnsi="Garamond"/>
              </w:rPr>
              <w:t xml:space="preserve">Sid. </w:t>
            </w:r>
            <w:r w:rsidRPr="009C1A50">
              <w:rPr>
                <w:rFonts w:ascii="Garamond" w:hAnsi="Garamond"/>
              </w:rPr>
              <w:fldChar w:fldCharType="begin"/>
            </w:r>
            <w:r w:rsidRPr="009C1A50">
              <w:rPr>
                <w:rFonts w:ascii="Garamond" w:hAnsi="Garamond"/>
              </w:rPr>
              <w:instrText xml:space="preserve"> PAGE  \* MERGEFORMAT </w:instrText>
            </w:r>
            <w:r w:rsidRPr="009C1A50">
              <w:rPr>
                <w:rFonts w:ascii="Garamond" w:hAnsi="Garamond"/>
              </w:rPr>
              <w:fldChar w:fldCharType="separate"/>
            </w:r>
            <w:r w:rsidR="006078D8">
              <w:rPr>
                <w:rFonts w:ascii="Garamond" w:hAnsi="Garamond"/>
                <w:noProof/>
              </w:rPr>
              <w:t>1</w:t>
            </w:r>
            <w:r w:rsidRPr="009C1A50">
              <w:rPr>
                <w:rFonts w:ascii="Garamond" w:hAnsi="Garamond"/>
              </w:rPr>
              <w:fldChar w:fldCharType="end"/>
            </w:r>
            <w:r w:rsidRPr="009C1A50">
              <w:rPr>
                <w:rFonts w:ascii="Garamond" w:hAnsi="Garamond"/>
              </w:rPr>
              <w:t>(</w:t>
            </w:r>
            <w:r w:rsidR="00E30DAE">
              <w:rPr>
                <w:rFonts w:ascii="Garamond" w:hAnsi="Garamond"/>
              </w:rPr>
              <w:t>1</w:t>
            </w:r>
            <w:r w:rsidR="0004746C">
              <w:rPr>
                <w:rFonts w:ascii="Garamond" w:hAnsi="Garamond"/>
              </w:rPr>
              <w:t>2</w:t>
            </w:r>
            <w:r w:rsidRPr="009C1A50">
              <w:rPr>
                <w:rFonts w:ascii="Garamond" w:hAnsi="Garamond"/>
              </w:rPr>
              <w:t>)</w:t>
            </w:r>
          </w:p>
        </w:tc>
      </w:tr>
      <w:tr w:rsidR="004120A0" w:rsidRPr="009C1A50" w14:paraId="7C8234DD" w14:textId="77777777">
        <w:tc>
          <w:tcPr>
            <w:tcW w:w="3380" w:type="dxa"/>
          </w:tcPr>
          <w:p w14:paraId="621364A5" w14:textId="77777777" w:rsidR="004120A0" w:rsidRPr="009C1A50" w:rsidRDefault="004120A0" w:rsidP="009C1A50">
            <w:pPr>
              <w:pStyle w:val="Brdtexthuvud"/>
              <w:framePr w:w="5273" w:hSpace="0" w:wrap="around" w:x="6601" w:y="568"/>
              <w:spacing w:line="276" w:lineRule="auto"/>
              <w:rPr>
                <w:rFonts w:ascii="Garamond" w:hAnsi="Garamond"/>
              </w:rPr>
            </w:pPr>
            <w:bookmarkStart w:id="6" w:name="TelemMeddnr2"/>
            <w:bookmarkEnd w:id="6"/>
            <w:r w:rsidRPr="009C1A50">
              <w:rPr>
                <w:rFonts w:ascii="Garamond" w:hAnsi="Garamond"/>
              </w:rPr>
              <w:t xml:space="preserve">  </w:t>
            </w:r>
            <w:bookmarkStart w:id="7" w:name="TelemMeddnr2End"/>
            <w:bookmarkEnd w:id="7"/>
          </w:p>
        </w:tc>
        <w:tc>
          <w:tcPr>
            <w:tcW w:w="1893" w:type="dxa"/>
          </w:tcPr>
          <w:p w14:paraId="1D08FA97" w14:textId="77777777" w:rsidR="004120A0" w:rsidRPr="009C1A50" w:rsidRDefault="004120A0" w:rsidP="009C1A50">
            <w:pPr>
              <w:pStyle w:val="Brdtexthuvud"/>
              <w:framePr w:w="5273" w:hSpace="0" w:wrap="around" w:x="6601" w:y="568"/>
              <w:spacing w:line="276" w:lineRule="auto"/>
              <w:rPr>
                <w:rFonts w:ascii="Garamond" w:hAnsi="Garamond"/>
              </w:rPr>
            </w:pPr>
          </w:p>
        </w:tc>
      </w:tr>
      <w:tr w:rsidR="004120A0" w:rsidRPr="009C1A50" w14:paraId="3644A88A" w14:textId="77777777">
        <w:tc>
          <w:tcPr>
            <w:tcW w:w="3380" w:type="dxa"/>
          </w:tcPr>
          <w:p w14:paraId="2A330377" w14:textId="38FD092B" w:rsidR="00A22912" w:rsidRPr="009C1A50" w:rsidRDefault="00130468" w:rsidP="009C1A50">
            <w:pPr>
              <w:pStyle w:val="Brdtexthuvud"/>
              <w:framePr w:w="5273" w:hSpace="0" w:wrap="around" w:x="6601" w:y="568"/>
              <w:spacing w:line="276" w:lineRule="auto"/>
              <w:rPr>
                <w:rFonts w:ascii="Garamond" w:hAnsi="Garamond"/>
              </w:rPr>
            </w:pPr>
            <w:bookmarkStart w:id="8" w:name="UDdatum"/>
            <w:bookmarkStart w:id="9" w:name="TelemDokDatum"/>
            <w:bookmarkEnd w:id="8"/>
            <w:bookmarkEnd w:id="9"/>
            <w:r>
              <w:rPr>
                <w:rFonts w:ascii="Garamond" w:hAnsi="Garamond"/>
              </w:rPr>
              <w:t>2020-03-0</w:t>
            </w:r>
            <w:r w:rsidR="00E30DAE">
              <w:rPr>
                <w:rFonts w:ascii="Garamond" w:hAnsi="Garamond"/>
              </w:rPr>
              <w:t>5</w:t>
            </w:r>
          </w:p>
        </w:tc>
        <w:tc>
          <w:tcPr>
            <w:tcW w:w="1893" w:type="dxa"/>
          </w:tcPr>
          <w:p w14:paraId="0218A568" w14:textId="77777777" w:rsidR="004120A0" w:rsidRPr="009C1A50" w:rsidRDefault="004120A0" w:rsidP="009C1A50">
            <w:pPr>
              <w:pStyle w:val="Brdtexthuvud"/>
              <w:framePr w:w="5273" w:hSpace="0" w:wrap="around" w:x="6601" w:y="568"/>
              <w:spacing w:line="276" w:lineRule="auto"/>
              <w:rPr>
                <w:rFonts w:ascii="Garamond" w:hAnsi="Garamond"/>
              </w:rPr>
            </w:pPr>
            <w:bookmarkStart w:id="10" w:name="UDdnr"/>
            <w:bookmarkStart w:id="11" w:name="TelemDossnr"/>
            <w:bookmarkEnd w:id="10"/>
            <w:bookmarkEnd w:id="11"/>
            <w:r w:rsidRPr="009C1A50">
              <w:rPr>
                <w:rFonts w:ascii="Garamond" w:hAnsi="Garamond"/>
              </w:rPr>
              <w:t xml:space="preserve"> </w:t>
            </w:r>
            <w:bookmarkStart w:id="12" w:name="TelemDossnrEnd"/>
            <w:bookmarkEnd w:id="12"/>
          </w:p>
          <w:p w14:paraId="068E2A9A" w14:textId="77777777" w:rsidR="004120A0" w:rsidRPr="009C1A50" w:rsidRDefault="004120A0" w:rsidP="009C1A50">
            <w:pPr>
              <w:pStyle w:val="Brdtexthuvud"/>
              <w:framePr w:w="5273" w:hSpace="0" w:wrap="around" w:x="6601" w:y="568"/>
              <w:spacing w:line="276" w:lineRule="auto"/>
              <w:rPr>
                <w:rFonts w:ascii="Garamond" w:hAnsi="Garamond"/>
              </w:rPr>
            </w:pPr>
            <w:bookmarkStart w:id="13" w:name="UDskrivnr"/>
            <w:bookmarkEnd w:id="13"/>
          </w:p>
          <w:p w14:paraId="170502AF" w14:textId="77777777" w:rsidR="004120A0" w:rsidRPr="009C1A50" w:rsidRDefault="004120A0" w:rsidP="009C1A50">
            <w:pPr>
              <w:pStyle w:val="Brdtexthuvud"/>
              <w:framePr w:w="5273" w:hSpace="0" w:wrap="around" w:x="6601" w:y="568"/>
              <w:spacing w:line="276" w:lineRule="auto"/>
              <w:rPr>
                <w:rFonts w:ascii="Garamond" w:hAnsi="Garamond"/>
              </w:rPr>
            </w:pPr>
          </w:p>
        </w:tc>
      </w:tr>
    </w:tbl>
    <w:p w14:paraId="030290D6" w14:textId="77777777" w:rsidR="00587438" w:rsidRPr="009C1A50" w:rsidRDefault="00587438" w:rsidP="009C1A50">
      <w:pPr>
        <w:spacing w:line="276" w:lineRule="auto"/>
        <w:rPr>
          <w:rFonts w:ascii="Garamond" w:hAnsi="Garamond"/>
          <w:vanish/>
          <w:sz w:val="24"/>
          <w:szCs w:val="24"/>
        </w:rPr>
      </w:pPr>
      <w:bookmarkStart w:id="14" w:name="UDdepartement"/>
      <w:bookmarkEnd w:id="14"/>
    </w:p>
    <w:tbl>
      <w:tblPr>
        <w:tblW w:w="9923" w:type="dxa"/>
        <w:tblLayout w:type="fixed"/>
        <w:tblCellMar>
          <w:left w:w="0" w:type="dxa"/>
          <w:right w:w="0" w:type="dxa"/>
        </w:tblCellMar>
        <w:tblLook w:val="0000" w:firstRow="0" w:lastRow="0" w:firstColumn="0" w:lastColumn="0" w:noHBand="0" w:noVBand="0"/>
      </w:tblPr>
      <w:tblGrid>
        <w:gridCol w:w="5160"/>
        <w:gridCol w:w="4763"/>
      </w:tblGrid>
      <w:tr w:rsidR="004120A0" w:rsidRPr="009C1A50" w14:paraId="047B45BD" w14:textId="77777777">
        <w:tc>
          <w:tcPr>
            <w:tcW w:w="5160" w:type="dxa"/>
          </w:tcPr>
          <w:p w14:paraId="024B5521" w14:textId="3292BCCA" w:rsidR="004120A0" w:rsidRPr="009C1A50" w:rsidRDefault="00A64400" w:rsidP="008C11F2">
            <w:pPr>
              <w:pStyle w:val="Depnamn"/>
              <w:framePr w:wrap="notBeside" w:vAnchor="page" w:hAnchor="page" w:x="1441" w:y="2496"/>
              <w:spacing w:before="40" w:line="276" w:lineRule="auto"/>
            </w:pPr>
            <w:r w:rsidRPr="009C1A50">
              <w:rPr>
                <w:rFonts w:ascii="Garamond" w:hAnsi="Garamond"/>
                <w:sz w:val="24"/>
                <w:szCs w:val="24"/>
              </w:rPr>
              <w:t>Havanna</w:t>
            </w:r>
            <w:bookmarkStart w:id="15" w:name="UDminister"/>
            <w:bookmarkStart w:id="16" w:name="UDStad"/>
            <w:bookmarkStart w:id="17" w:name="UDdelges"/>
            <w:bookmarkEnd w:id="15"/>
            <w:bookmarkEnd w:id="16"/>
            <w:bookmarkEnd w:id="17"/>
          </w:p>
          <w:p w14:paraId="1F0D8412" w14:textId="77777777" w:rsidR="004120A0" w:rsidRPr="009C1A50" w:rsidRDefault="004120A0" w:rsidP="009C1A50">
            <w:pPr>
              <w:pStyle w:val="Depnamn"/>
              <w:framePr w:wrap="notBeside" w:vAnchor="page" w:hAnchor="page" w:x="1441" w:y="2496"/>
              <w:spacing w:line="276" w:lineRule="auto"/>
              <w:rPr>
                <w:rFonts w:ascii="Garamond" w:hAnsi="Garamond"/>
                <w:sz w:val="24"/>
                <w:szCs w:val="24"/>
              </w:rPr>
            </w:pPr>
            <w:bookmarkStart w:id="18" w:name="UDendruta"/>
            <w:bookmarkEnd w:id="18"/>
          </w:p>
        </w:tc>
        <w:tc>
          <w:tcPr>
            <w:tcW w:w="4763" w:type="dxa"/>
          </w:tcPr>
          <w:p w14:paraId="6490590B" w14:textId="77777777" w:rsidR="004120A0" w:rsidRPr="009C1A50" w:rsidRDefault="004120A0" w:rsidP="009C1A50">
            <w:pPr>
              <w:pStyle w:val="Brdtext1"/>
              <w:framePr w:wrap="notBeside" w:vAnchor="page" w:hAnchor="page" w:x="1441" w:y="2496"/>
              <w:spacing w:line="276" w:lineRule="auto"/>
              <w:rPr>
                <w:rFonts w:ascii="Garamond" w:hAnsi="Garamond"/>
              </w:rPr>
            </w:pPr>
            <w:bookmarkStart w:id="19" w:name="UDmottagare"/>
            <w:bookmarkEnd w:id="19"/>
          </w:p>
          <w:p w14:paraId="10B4D5D0" w14:textId="77777777" w:rsidR="004120A0" w:rsidRPr="009C1A50" w:rsidRDefault="004120A0" w:rsidP="009C1A50">
            <w:pPr>
              <w:pStyle w:val="Brdtext1"/>
              <w:framePr w:wrap="notBeside" w:vAnchor="page" w:hAnchor="page" w:x="1441" w:y="2496"/>
              <w:spacing w:line="276" w:lineRule="auto"/>
              <w:rPr>
                <w:rFonts w:ascii="Garamond" w:hAnsi="Garamond"/>
              </w:rPr>
            </w:pPr>
          </w:p>
        </w:tc>
      </w:tr>
    </w:tbl>
    <w:p w14:paraId="082F077B" w14:textId="503107BD" w:rsidR="00990505" w:rsidRPr="009C1A50" w:rsidRDefault="00343018" w:rsidP="009C1A50">
      <w:pPr>
        <w:framePr w:w="3119" w:wrap="around" w:vAnchor="page" w:hAnchor="page" w:x="1192" w:y="511"/>
        <w:tabs>
          <w:tab w:val="left" w:pos="142"/>
        </w:tabs>
        <w:spacing w:line="276" w:lineRule="auto"/>
        <w:rPr>
          <w:rFonts w:ascii="Garamond" w:hAnsi="Garamond"/>
          <w:sz w:val="24"/>
          <w:szCs w:val="24"/>
        </w:rPr>
      </w:pPr>
      <w:bookmarkStart w:id="20" w:name="TelemAddr7"/>
      <w:bookmarkStart w:id="21" w:name="UDbild"/>
      <w:bookmarkEnd w:id="20"/>
      <w:bookmarkEnd w:id="21"/>
      <w:r w:rsidRPr="009C1A50">
        <w:rPr>
          <w:rFonts w:ascii="Garamond" w:hAnsi="Garamond"/>
          <w:noProof/>
          <w:sz w:val="24"/>
          <w:szCs w:val="24"/>
          <w:lang w:eastAsia="sv-SE"/>
        </w:rPr>
        <w:drawing>
          <wp:inline distT="0" distB="0" distL="0" distR="0" wp14:anchorId="32A4C0C3" wp14:editId="7583D2AD">
            <wp:extent cx="1974850" cy="863600"/>
            <wp:effectExtent l="0" t="0" r="6350" b="0"/>
            <wp:docPr id="1" name="Picture 1" descr="sa1f_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1f_s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863600"/>
                    </a:xfrm>
                    <a:prstGeom prst="rect">
                      <a:avLst/>
                    </a:prstGeom>
                    <a:noFill/>
                    <a:ln>
                      <a:noFill/>
                    </a:ln>
                  </pic:spPr>
                </pic:pic>
              </a:graphicData>
            </a:graphic>
          </wp:inline>
        </w:drawing>
      </w:r>
    </w:p>
    <w:p w14:paraId="385456F1" w14:textId="63A5B539" w:rsidR="00E64AF8" w:rsidRPr="00E64AF8" w:rsidRDefault="00775ADB" w:rsidP="00E64AF8">
      <w:pPr>
        <w:pStyle w:val="UDrubrik"/>
        <w:pBdr>
          <w:bottom w:val="single" w:sz="6" w:space="1" w:color="auto"/>
        </w:pBdr>
        <w:spacing w:line="276" w:lineRule="auto"/>
        <w:rPr>
          <w:rFonts w:ascii="Garamond" w:hAnsi="Garamond" w:cs="Arial"/>
          <w:sz w:val="24"/>
          <w:szCs w:val="24"/>
        </w:rPr>
      </w:pPr>
      <w:bookmarkStart w:id="22" w:name="TelemAddr6"/>
      <w:bookmarkStart w:id="23" w:name="TelemAddr2"/>
      <w:bookmarkStart w:id="24" w:name="TelemAddr1"/>
      <w:bookmarkStart w:id="25" w:name="TelemAddr0"/>
      <w:bookmarkStart w:id="26" w:name="Telemprioritet"/>
      <w:bookmarkStart w:id="27" w:name="Udtext"/>
      <w:bookmarkEnd w:id="22"/>
      <w:bookmarkEnd w:id="23"/>
      <w:bookmarkEnd w:id="24"/>
      <w:bookmarkEnd w:id="25"/>
      <w:bookmarkEnd w:id="26"/>
      <w:bookmarkEnd w:id="27"/>
      <w:r w:rsidRPr="009C1A50">
        <w:rPr>
          <w:rFonts w:ascii="Garamond" w:hAnsi="Garamond" w:cs="Arial"/>
          <w:sz w:val="24"/>
          <w:szCs w:val="24"/>
        </w:rPr>
        <w:t xml:space="preserve">Ekonomisk och handelspolitisk rapport för </w:t>
      </w:r>
      <w:r w:rsidR="00F07EE9" w:rsidRPr="009C1A50">
        <w:rPr>
          <w:rFonts w:ascii="Garamond" w:hAnsi="Garamond" w:cs="Arial"/>
          <w:sz w:val="24"/>
          <w:szCs w:val="24"/>
        </w:rPr>
        <w:t>Kuba</w:t>
      </w:r>
      <w:r w:rsidR="00AD45D6">
        <w:rPr>
          <w:rFonts w:ascii="Garamond" w:hAnsi="Garamond" w:cs="Arial"/>
          <w:sz w:val="24"/>
          <w:szCs w:val="24"/>
        </w:rPr>
        <w:t xml:space="preserve"> </w:t>
      </w:r>
      <w:r w:rsidR="008C11F2">
        <w:rPr>
          <w:rFonts w:ascii="Garamond" w:hAnsi="Garamond" w:cs="Arial"/>
          <w:sz w:val="24"/>
          <w:szCs w:val="24"/>
        </w:rPr>
        <w:t xml:space="preserve">2019 </w:t>
      </w:r>
    </w:p>
    <w:p w14:paraId="16981C97" w14:textId="77777777" w:rsidR="00E64AF8" w:rsidRDefault="00E64AF8" w:rsidP="00E64AF8">
      <w:pPr>
        <w:spacing w:line="276" w:lineRule="auto"/>
        <w:rPr>
          <w:rFonts w:ascii="Garamond" w:hAnsi="Garamond"/>
          <w:b/>
          <w:sz w:val="24"/>
          <w:szCs w:val="24"/>
        </w:rPr>
      </w:pPr>
    </w:p>
    <w:p w14:paraId="648D99CE" w14:textId="77777777" w:rsidR="00E64AF8" w:rsidRDefault="00E64AF8" w:rsidP="00E64AF8">
      <w:pPr>
        <w:spacing w:line="276" w:lineRule="auto"/>
        <w:rPr>
          <w:rFonts w:ascii="Garamond" w:hAnsi="Garamond"/>
          <w:b/>
          <w:sz w:val="24"/>
          <w:szCs w:val="24"/>
        </w:rPr>
      </w:pPr>
      <w:r w:rsidRPr="00CA44DE">
        <w:rPr>
          <w:rFonts w:ascii="Garamond" w:hAnsi="Garamond"/>
          <w:noProof/>
          <w:sz w:val="24"/>
          <w:szCs w:val="24"/>
          <w:lang w:eastAsia="sv-SE"/>
        </w:rPr>
        <mc:AlternateContent>
          <mc:Choice Requires="wps">
            <w:drawing>
              <wp:anchor distT="0" distB="0" distL="114300" distR="114300" simplePos="0" relativeHeight="251659264" behindDoc="0" locked="0" layoutInCell="1" allowOverlap="1" wp14:anchorId="5145BF3A" wp14:editId="7BC5EFDB">
                <wp:simplePos x="0" y="0"/>
                <wp:positionH relativeFrom="column">
                  <wp:posOffset>0</wp:posOffset>
                </wp:positionH>
                <wp:positionV relativeFrom="paragraph">
                  <wp:posOffset>0</wp:posOffset>
                </wp:positionV>
                <wp:extent cx="4659782" cy="5629275"/>
                <wp:effectExtent l="0" t="0" r="2667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782" cy="5629275"/>
                        </a:xfrm>
                        <a:prstGeom prst="rect">
                          <a:avLst/>
                        </a:prstGeom>
                        <a:solidFill>
                          <a:srgbClr val="FFFFFF"/>
                        </a:solidFill>
                        <a:ln w="9525">
                          <a:solidFill>
                            <a:srgbClr val="000000"/>
                          </a:solidFill>
                          <a:miter lim="800000"/>
                          <a:headEnd/>
                          <a:tailEnd/>
                        </a:ln>
                      </wps:spPr>
                      <wps:txbx>
                        <w:txbxContent>
                          <w:p w14:paraId="0CAE4B8F" w14:textId="77777777" w:rsidR="00E64AF8" w:rsidRPr="000A61F1" w:rsidRDefault="00E64AF8" w:rsidP="00E64AF8">
                            <w:pPr>
                              <w:rPr>
                                <w:b/>
                              </w:rPr>
                            </w:pPr>
                            <w:r w:rsidRPr="009376A3">
                              <w:rPr>
                                <w:b/>
                              </w:rPr>
                              <w:t>Basfakta</w:t>
                            </w:r>
                            <w:r>
                              <w:rPr>
                                <w:b/>
                              </w:rPr>
                              <w:t xml:space="preserve"> </w:t>
                            </w:r>
                          </w:p>
                          <w:p w14:paraId="15956EF7" w14:textId="77777777" w:rsidR="00E64AF8" w:rsidRPr="000A61F1" w:rsidRDefault="00E64AF8" w:rsidP="00E64AF8">
                            <w:r w:rsidRPr="000A61F1">
                              <w:t>BNP (nominell):</w:t>
                            </w:r>
                            <w:r>
                              <w:tab/>
                            </w:r>
                            <w:r>
                              <w:tab/>
                              <w:t>106 miljarder USD*</w:t>
                            </w:r>
                            <w:r w:rsidRPr="000A61F1">
                              <w:t xml:space="preserve"> (EIU)</w:t>
                            </w:r>
                          </w:p>
                          <w:p w14:paraId="20CEAE2F" w14:textId="77777777" w:rsidR="00E64AF8" w:rsidRPr="00B6751B" w:rsidRDefault="00E64AF8" w:rsidP="00E64AF8">
                            <w:pPr>
                              <w:rPr>
                                <w:lang w:val="es-ES"/>
                              </w:rPr>
                            </w:pPr>
                            <w:r w:rsidRPr="00B6751B">
                              <w:rPr>
                                <w:lang w:val="es-ES"/>
                              </w:rPr>
                              <w:t>BNP/</w:t>
                            </w:r>
                            <w:proofErr w:type="spellStart"/>
                            <w:r w:rsidRPr="00B6751B">
                              <w:rPr>
                                <w:lang w:val="es-ES"/>
                              </w:rPr>
                              <w:t>capita</w:t>
                            </w:r>
                            <w:proofErr w:type="spellEnd"/>
                            <w:r w:rsidRPr="00B6751B">
                              <w:rPr>
                                <w:lang w:val="es-ES"/>
                              </w:rPr>
                              <w:t xml:space="preserve"> (PPP):</w:t>
                            </w:r>
                            <w:r>
                              <w:rPr>
                                <w:lang w:val="es-ES"/>
                              </w:rPr>
                              <w:tab/>
                              <w:t>14 166</w:t>
                            </w:r>
                            <w:r w:rsidRPr="00B6751B">
                              <w:rPr>
                                <w:lang w:val="es-ES"/>
                              </w:rPr>
                              <w:t xml:space="preserve"> USD</w:t>
                            </w:r>
                            <w:r>
                              <w:rPr>
                                <w:lang w:val="es-ES"/>
                              </w:rPr>
                              <w:t>*</w:t>
                            </w:r>
                            <w:r w:rsidRPr="00B6751B">
                              <w:rPr>
                                <w:lang w:val="es-ES"/>
                              </w:rPr>
                              <w:t xml:space="preserve"> (EIU)</w:t>
                            </w:r>
                          </w:p>
                          <w:p w14:paraId="33FCFA3F" w14:textId="77777777" w:rsidR="00E64AF8" w:rsidRPr="009965FB" w:rsidRDefault="00E64AF8" w:rsidP="00E64AF8">
                            <w:pPr>
                              <w:rPr>
                                <w:lang w:val="es-ES"/>
                              </w:rPr>
                            </w:pPr>
                            <w:r w:rsidRPr="009965FB">
                              <w:rPr>
                                <w:lang w:val="es-ES"/>
                              </w:rPr>
                              <w:t>BNP-</w:t>
                            </w:r>
                            <w:proofErr w:type="spellStart"/>
                            <w:r w:rsidRPr="009965FB">
                              <w:rPr>
                                <w:lang w:val="es-ES"/>
                              </w:rPr>
                              <w:t>tillväxt</w:t>
                            </w:r>
                            <w:proofErr w:type="spellEnd"/>
                            <w:r w:rsidRPr="009965FB">
                              <w:rPr>
                                <w:lang w:val="es-ES"/>
                              </w:rPr>
                              <w:t xml:space="preserve">: </w:t>
                            </w:r>
                            <w:r w:rsidRPr="009965FB">
                              <w:rPr>
                                <w:lang w:val="es-ES"/>
                              </w:rPr>
                              <w:tab/>
                            </w:r>
                            <w:r w:rsidRPr="009965FB">
                              <w:rPr>
                                <w:lang w:val="es-ES"/>
                              </w:rPr>
                              <w:tab/>
                              <w:t xml:space="preserve">0,5 </w:t>
                            </w:r>
                            <w:proofErr w:type="gramStart"/>
                            <w:r w:rsidRPr="009965FB">
                              <w:rPr>
                                <w:lang w:val="es-ES"/>
                              </w:rPr>
                              <w:t>%  (</w:t>
                            </w:r>
                            <w:proofErr w:type="gramEnd"/>
                            <w:r w:rsidRPr="009965FB">
                              <w:rPr>
                                <w:lang w:val="es-ES"/>
                              </w:rPr>
                              <w:t>ECLAC)</w:t>
                            </w:r>
                          </w:p>
                          <w:p w14:paraId="0B190D12" w14:textId="77777777" w:rsidR="00E64AF8" w:rsidRPr="009965FB" w:rsidRDefault="00E64AF8" w:rsidP="00E64AF8">
                            <w:pPr>
                              <w:rPr>
                                <w:color w:val="FF0000"/>
                                <w:lang w:val="es-ES"/>
                              </w:rPr>
                            </w:pPr>
                            <w:proofErr w:type="spellStart"/>
                            <w:r w:rsidRPr="009965FB">
                              <w:rPr>
                                <w:lang w:val="es-ES"/>
                              </w:rPr>
                              <w:t>Medellön</w:t>
                            </w:r>
                            <w:proofErr w:type="spellEnd"/>
                            <w:r w:rsidRPr="009965FB">
                              <w:rPr>
                                <w:lang w:val="es-ES"/>
                              </w:rPr>
                              <w:t>:</w:t>
                            </w:r>
                            <w:r w:rsidRPr="009965FB">
                              <w:rPr>
                                <w:lang w:val="es-ES"/>
                              </w:rPr>
                              <w:tab/>
                            </w:r>
                            <w:r w:rsidRPr="009965FB">
                              <w:rPr>
                                <w:lang w:val="es-ES"/>
                              </w:rPr>
                              <w:tab/>
                            </w:r>
                            <w:r w:rsidRPr="009965FB">
                              <w:rPr>
                                <w:rFonts w:ascii="Garamond" w:hAnsi="Garamond"/>
                                <w:sz w:val="24"/>
                                <w:szCs w:val="24"/>
                                <w:lang w:val="es-ES"/>
                              </w:rPr>
                              <w:t>1067</w:t>
                            </w:r>
                            <w:r w:rsidRPr="009965FB">
                              <w:rPr>
                                <w:color w:val="FF0000"/>
                                <w:lang w:val="es-ES"/>
                              </w:rPr>
                              <w:t xml:space="preserve"> </w:t>
                            </w:r>
                            <w:r w:rsidRPr="009965FB">
                              <w:rPr>
                                <w:lang w:val="es-ES"/>
                              </w:rPr>
                              <w:t>CUP/</w:t>
                            </w:r>
                            <w:proofErr w:type="spellStart"/>
                            <w:r w:rsidRPr="009965FB">
                              <w:rPr>
                                <w:lang w:val="es-ES"/>
                              </w:rPr>
                              <w:t>månad</w:t>
                            </w:r>
                            <w:proofErr w:type="spellEnd"/>
                            <w:r w:rsidRPr="009965FB">
                              <w:rPr>
                                <w:lang w:val="es-ES"/>
                              </w:rPr>
                              <w:t xml:space="preserve"> (ca 42,6 </w:t>
                            </w:r>
                            <w:proofErr w:type="gramStart"/>
                            <w:r w:rsidRPr="009965FB">
                              <w:rPr>
                                <w:lang w:val="es-ES"/>
                              </w:rPr>
                              <w:t>USD)*</w:t>
                            </w:r>
                            <w:proofErr w:type="gramEnd"/>
                            <w:r w:rsidRPr="009965FB">
                              <w:rPr>
                                <w:lang w:val="es-ES"/>
                              </w:rPr>
                              <w:t>*</w:t>
                            </w:r>
                          </w:p>
                          <w:p w14:paraId="5B171845" w14:textId="77777777" w:rsidR="00E64AF8" w:rsidRPr="000A61F1" w:rsidRDefault="00E64AF8" w:rsidP="00E64AF8">
                            <w:r w:rsidRPr="000A61F1">
                              <w:t>Inflation:</w:t>
                            </w:r>
                            <w:r>
                              <w:tab/>
                            </w:r>
                            <w:r>
                              <w:tab/>
                              <w:t>5,5 %*</w:t>
                            </w:r>
                            <w:r w:rsidRPr="000A61F1">
                              <w:t xml:space="preserve"> (EIU)</w:t>
                            </w:r>
                          </w:p>
                          <w:p w14:paraId="200AF9C4" w14:textId="77777777" w:rsidR="00E64AF8" w:rsidRPr="000A61F1" w:rsidRDefault="00E64AF8" w:rsidP="00E64AF8">
                            <w:r w:rsidRPr="000A61F1">
                              <w:t xml:space="preserve">Budgetunderskott: </w:t>
                            </w:r>
                            <w:r>
                              <w:tab/>
                            </w:r>
                            <w:r w:rsidRPr="003F282A">
                              <w:t>7,2 % av BNP 2018* (EIU)</w:t>
                            </w:r>
                          </w:p>
                          <w:p w14:paraId="601CA0DA" w14:textId="77777777" w:rsidR="00E64AF8" w:rsidRPr="000A61F1" w:rsidRDefault="00E64AF8" w:rsidP="00E64AF8">
                            <w:r w:rsidRPr="000A61F1">
                              <w:t xml:space="preserve">Utlandsskuld: </w:t>
                            </w:r>
                            <w:r>
                              <w:tab/>
                            </w:r>
                            <w:r>
                              <w:tab/>
                            </w:r>
                            <w:r w:rsidRPr="000A61F1">
                              <w:t xml:space="preserve">ca </w:t>
                            </w:r>
                            <w:r>
                              <w:t>29,4</w:t>
                            </w:r>
                            <w:r w:rsidRPr="000A61F1">
                              <w:t xml:space="preserve"> miljarder USD</w:t>
                            </w:r>
                            <w:r>
                              <w:t>*</w:t>
                            </w:r>
                            <w:r w:rsidRPr="000A61F1">
                              <w:t xml:space="preserve"> (EIU)</w:t>
                            </w:r>
                          </w:p>
                          <w:p w14:paraId="4553C46E" w14:textId="77777777" w:rsidR="00E64AF8" w:rsidRPr="00AD45D6" w:rsidRDefault="00E64AF8" w:rsidP="00E64AF8">
                            <w:r w:rsidRPr="00AD45D6">
                              <w:t xml:space="preserve">Valuta: </w:t>
                            </w:r>
                            <w:r w:rsidRPr="00AD45D6">
                              <w:tab/>
                            </w:r>
                            <w:r w:rsidRPr="00AD45D6">
                              <w:tab/>
                            </w:r>
                            <w:r w:rsidRPr="00AD45D6">
                              <w:tab/>
                              <w:t>Kubansk peso, CUP, och Konvertibel peso, CUC</w:t>
                            </w:r>
                          </w:p>
                          <w:p w14:paraId="39A385C1" w14:textId="77777777" w:rsidR="00E64AF8" w:rsidRPr="000A61F1" w:rsidRDefault="00E64AF8" w:rsidP="00E64AF8">
                            <w:r w:rsidRPr="000A61F1">
                              <w:t xml:space="preserve">Växelkurs: </w:t>
                            </w:r>
                            <w:r>
                              <w:tab/>
                            </w:r>
                            <w:r>
                              <w:tab/>
                            </w:r>
                            <w:r w:rsidRPr="000A61F1">
                              <w:t>1 CUC = 24 CUP, 1 CUC = 1 USD</w:t>
                            </w:r>
                          </w:p>
                          <w:p w14:paraId="514F1621" w14:textId="77777777" w:rsidR="00E64AF8" w:rsidRPr="000A61F1" w:rsidRDefault="00E64AF8" w:rsidP="00E64AF8">
                            <w:r w:rsidRPr="000A61F1">
                              <w:t>Valutareserv</w:t>
                            </w:r>
                            <w:r>
                              <w:t>:</w:t>
                            </w:r>
                            <w:r>
                              <w:tab/>
                            </w:r>
                            <w:r>
                              <w:tab/>
                              <w:t xml:space="preserve">10 </w:t>
                            </w:r>
                            <w:r w:rsidRPr="000A61F1">
                              <w:t>miljarder</w:t>
                            </w:r>
                            <w:r>
                              <w:t xml:space="preserve"> </w:t>
                            </w:r>
                            <w:r w:rsidRPr="000A61F1">
                              <w:t>USD</w:t>
                            </w:r>
                            <w:r>
                              <w:t>*</w:t>
                            </w:r>
                            <w:r w:rsidRPr="000A61F1">
                              <w:t xml:space="preserve"> (EIU)</w:t>
                            </w:r>
                          </w:p>
                          <w:p w14:paraId="6210C1BC" w14:textId="77777777" w:rsidR="00E64AF8" w:rsidRDefault="00E64AF8" w:rsidP="00E64AF8">
                            <w:r>
                              <w:t>Befolkning:</w:t>
                            </w:r>
                            <w:r>
                              <w:tab/>
                            </w:r>
                            <w:r>
                              <w:tab/>
                              <w:t>11,3 miljoner</w:t>
                            </w:r>
                          </w:p>
                          <w:p w14:paraId="37E529A8" w14:textId="77777777" w:rsidR="00E64AF8" w:rsidRPr="008C11F2" w:rsidRDefault="00E64AF8" w:rsidP="00E64AF8">
                            <w:pPr>
                              <w:rPr>
                                <w:color w:val="FF0000"/>
                              </w:rPr>
                            </w:pPr>
                            <w:r w:rsidRPr="002B74B4">
                              <w:t>Arbetsför befolkning:</w:t>
                            </w:r>
                            <w:r w:rsidRPr="008C11F2">
                              <w:rPr>
                                <w:color w:val="FF0000"/>
                              </w:rPr>
                              <w:tab/>
                            </w:r>
                            <w:r w:rsidRPr="002B74B4">
                              <w:t>5,1 miljoner, varav 30 % i privata sektorn</w:t>
                            </w:r>
                            <w:r>
                              <w:t>**</w:t>
                            </w:r>
                            <w:r w:rsidRPr="002B74B4">
                              <w:t xml:space="preserve"> (ONEI)</w:t>
                            </w:r>
                          </w:p>
                          <w:p w14:paraId="6D7BDC22" w14:textId="77777777" w:rsidR="00E64AF8" w:rsidRPr="000A61F1" w:rsidRDefault="00E64AF8" w:rsidP="00E64AF8">
                            <w:r w:rsidRPr="000A61F1">
                              <w:t>Arbetslöshet:</w:t>
                            </w:r>
                            <w:r>
                              <w:tab/>
                            </w:r>
                            <w:r>
                              <w:tab/>
                            </w:r>
                            <w:r w:rsidRPr="00F201FB">
                              <w:t>ca 1,7 %</w:t>
                            </w:r>
                            <w:r>
                              <w:t xml:space="preserve"> 2018</w:t>
                            </w:r>
                            <w:r w:rsidRPr="00F201FB">
                              <w:t xml:space="preserve">** </w:t>
                            </w:r>
                          </w:p>
                          <w:p w14:paraId="43B8F6D8" w14:textId="77777777" w:rsidR="00E64AF8" w:rsidRPr="000A61F1" w:rsidRDefault="00E64AF8" w:rsidP="00E64AF8">
                            <w:r>
                              <w:t>Varui</w:t>
                            </w:r>
                            <w:r w:rsidRPr="000A61F1">
                              <w:t xml:space="preserve">mport: </w:t>
                            </w:r>
                            <w:r>
                              <w:tab/>
                            </w:r>
                            <w:r>
                              <w:tab/>
                            </w:r>
                            <w:r w:rsidRPr="000A61F1">
                              <w:t>1</w:t>
                            </w:r>
                            <w:r>
                              <w:t xml:space="preserve">0,6 </w:t>
                            </w:r>
                            <w:r w:rsidRPr="000A61F1">
                              <w:t>miljarder USD</w:t>
                            </w:r>
                            <w:r>
                              <w:t xml:space="preserve">* </w:t>
                            </w:r>
                            <w:r w:rsidRPr="000A61F1">
                              <w:t>(EIU)</w:t>
                            </w:r>
                          </w:p>
                          <w:p w14:paraId="29E284ED" w14:textId="77777777" w:rsidR="00E64AF8" w:rsidRDefault="00E64AF8" w:rsidP="00E64AF8">
                            <w:r>
                              <w:t>Varue</w:t>
                            </w:r>
                            <w:r w:rsidRPr="000A61F1">
                              <w:t>xport</w:t>
                            </w:r>
                            <w:r>
                              <w:t>:</w:t>
                            </w:r>
                            <w:r w:rsidRPr="000A61F1">
                              <w:t xml:space="preserve"> </w:t>
                            </w:r>
                            <w:r>
                              <w:tab/>
                            </w:r>
                            <w:r>
                              <w:tab/>
                              <w:t>2,4</w:t>
                            </w:r>
                            <w:r w:rsidRPr="000A61F1">
                              <w:t xml:space="preserve"> miljarder USD</w:t>
                            </w:r>
                            <w:r>
                              <w:t xml:space="preserve">* </w:t>
                            </w:r>
                            <w:r w:rsidRPr="000A61F1">
                              <w:t>(EIU)</w:t>
                            </w:r>
                          </w:p>
                          <w:p w14:paraId="7212445F" w14:textId="77777777" w:rsidR="00E64AF8" w:rsidRPr="000A61F1" w:rsidRDefault="00E64AF8" w:rsidP="00E64AF8">
                            <w:r>
                              <w:t xml:space="preserve">Tjänsteexport: </w:t>
                            </w:r>
                            <w:r>
                              <w:tab/>
                            </w:r>
                            <w:r>
                              <w:tab/>
                              <w:t>9,2 miljarder USD* (EIU)</w:t>
                            </w:r>
                          </w:p>
                          <w:p w14:paraId="41D5ED44" w14:textId="77777777" w:rsidR="00E64AF8" w:rsidRPr="000A61F1" w:rsidRDefault="00E64AF8" w:rsidP="00E64AF8">
                            <w:r w:rsidRPr="000A61F1">
                              <w:t>Bytesbalans:</w:t>
                            </w:r>
                            <w:r>
                              <w:t xml:space="preserve"> </w:t>
                            </w:r>
                            <w:r>
                              <w:tab/>
                            </w:r>
                            <w:r>
                              <w:tab/>
                              <w:t>ca 1,5 miljarder</w:t>
                            </w:r>
                            <w:r w:rsidRPr="000A61F1">
                              <w:t xml:space="preserve"> USD</w:t>
                            </w:r>
                            <w:r>
                              <w:t xml:space="preserve">* </w:t>
                            </w:r>
                            <w:r w:rsidRPr="000A61F1">
                              <w:t>(EIU)</w:t>
                            </w:r>
                          </w:p>
                          <w:p w14:paraId="46FC342D" w14:textId="77777777" w:rsidR="00E64AF8" w:rsidRPr="000A61F1" w:rsidRDefault="00E64AF8" w:rsidP="00E64AF8">
                            <w:r w:rsidRPr="000A61F1">
                              <w:t>Handelsbalans</w:t>
                            </w:r>
                            <w:r>
                              <w:t>:</w:t>
                            </w:r>
                            <w:r w:rsidRPr="000A61F1">
                              <w:t xml:space="preserve"> </w:t>
                            </w:r>
                            <w:r>
                              <w:tab/>
                            </w:r>
                            <w:r>
                              <w:tab/>
                              <w:t xml:space="preserve">- 8,2 miljarder USD* </w:t>
                            </w:r>
                            <w:r w:rsidRPr="000A61F1">
                              <w:t>(EIU)</w:t>
                            </w:r>
                          </w:p>
                          <w:p w14:paraId="546A8075" w14:textId="77777777" w:rsidR="00E64AF8" w:rsidRPr="000A61F1" w:rsidRDefault="00E64AF8" w:rsidP="00E64AF8">
                            <w:pPr>
                              <w:ind w:left="2160" w:hanging="2160"/>
                            </w:pPr>
                            <w:r w:rsidRPr="000A61F1">
                              <w:t xml:space="preserve">Viktiga exportnäringar: </w:t>
                            </w:r>
                            <w:r>
                              <w:tab/>
                            </w:r>
                            <w:r w:rsidRPr="000A61F1">
                              <w:t>Hälsoservice, turism, olja</w:t>
                            </w:r>
                            <w:r>
                              <w:t xml:space="preserve">, </w:t>
                            </w:r>
                            <w:r w:rsidRPr="000A61F1">
                              <w:t>socker,</w:t>
                            </w:r>
                            <w:r>
                              <w:t xml:space="preserve"> tobak, nickel,</w:t>
                            </w:r>
                            <w:r w:rsidRPr="000A61F1">
                              <w:t xml:space="preserve"> farmaceutiska produkter</w:t>
                            </w:r>
                          </w:p>
                          <w:p w14:paraId="14CEE7BE" w14:textId="77777777" w:rsidR="00E64AF8" w:rsidRPr="000A61F1" w:rsidRDefault="00E64AF8" w:rsidP="00E64AF8">
                            <w:pPr>
                              <w:ind w:left="2160" w:hanging="2160"/>
                            </w:pPr>
                            <w:r w:rsidRPr="000A61F1">
                              <w:t xml:space="preserve">Viktiga importprodukter: </w:t>
                            </w:r>
                            <w:r>
                              <w:tab/>
                            </w:r>
                            <w:r w:rsidRPr="000A61F1">
                              <w:t>Olja, livsmedel, maskiner och utrustning, (främst till turistindustrin) kemiska produkter</w:t>
                            </w:r>
                          </w:p>
                          <w:p w14:paraId="609D1254" w14:textId="77777777" w:rsidR="00E64AF8" w:rsidRPr="000A61F1" w:rsidRDefault="00E64AF8" w:rsidP="00E64AF8">
                            <w:pPr>
                              <w:ind w:left="2160" w:hanging="2160"/>
                            </w:pPr>
                            <w:r w:rsidRPr="000A61F1">
                              <w:t>Största handelspartners:</w:t>
                            </w:r>
                            <w:r>
                              <w:t xml:space="preserve"> </w:t>
                            </w:r>
                            <w:r>
                              <w:tab/>
                              <w:t xml:space="preserve">EU (Spanien), Kina, Kanada, Venezuela, Mexiko, Brasilien, Ryssland  </w:t>
                            </w:r>
                          </w:p>
                          <w:p w14:paraId="04D50419" w14:textId="77777777" w:rsidR="00E64AF8" w:rsidRPr="000A61F1" w:rsidRDefault="00E64AF8" w:rsidP="00E64AF8">
                            <w:r w:rsidRPr="000A61F1">
                              <w:t xml:space="preserve">Sveriges export till Kuba: </w:t>
                            </w:r>
                            <w:r>
                              <w:tab/>
                              <w:t>333</w:t>
                            </w:r>
                            <w:r w:rsidRPr="000A61F1">
                              <w:t xml:space="preserve"> miljoner SEK </w:t>
                            </w:r>
                            <w:r>
                              <w:t>2019</w:t>
                            </w:r>
                            <w:r w:rsidRPr="000A61F1">
                              <w:t xml:space="preserve"> (</w:t>
                            </w:r>
                            <w:r>
                              <w:t>SCB</w:t>
                            </w:r>
                            <w:r w:rsidRPr="000A61F1">
                              <w:t>)</w:t>
                            </w:r>
                          </w:p>
                          <w:p w14:paraId="7B0AF5EA" w14:textId="77777777" w:rsidR="00E64AF8" w:rsidRDefault="00E64AF8" w:rsidP="00E64AF8">
                            <w:r w:rsidRPr="000A61F1">
                              <w:t xml:space="preserve">Kubas export till Sverige: </w:t>
                            </w:r>
                            <w:r>
                              <w:tab/>
                              <w:t>38</w:t>
                            </w:r>
                            <w:r w:rsidRPr="000A61F1">
                              <w:t xml:space="preserve"> miljoner SEK </w:t>
                            </w:r>
                            <w:r>
                              <w:t>2019</w:t>
                            </w:r>
                            <w:r w:rsidRPr="000A61F1">
                              <w:t xml:space="preserve"> (</w:t>
                            </w:r>
                            <w:r>
                              <w:t>SCB</w:t>
                            </w:r>
                            <w:r w:rsidRPr="000A61F1">
                              <w:t>)</w:t>
                            </w:r>
                          </w:p>
                          <w:p w14:paraId="6E89131B" w14:textId="77777777" w:rsidR="00E64AF8" w:rsidRPr="000A61F1" w:rsidRDefault="00E64AF8" w:rsidP="00E64AF8"/>
                          <w:p w14:paraId="1BAEF1D1" w14:textId="77777777" w:rsidR="00E64AF8" w:rsidRPr="0080694F" w:rsidRDefault="00E64AF8" w:rsidP="00E64AF8">
                            <w:pPr>
                              <w:rPr>
                                <w:sz w:val="14"/>
                                <w:szCs w:val="14"/>
                              </w:rPr>
                            </w:pPr>
                          </w:p>
                          <w:p w14:paraId="217F8DE8" w14:textId="77777777" w:rsidR="00E64AF8" w:rsidRPr="0080694F" w:rsidRDefault="00E64AF8" w:rsidP="00E64AF8">
                            <w:pPr>
                              <w:rPr>
                                <w:sz w:val="14"/>
                                <w:szCs w:val="14"/>
                              </w:rPr>
                            </w:pPr>
                          </w:p>
                          <w:p w14:paraId="3573D2DA" w14:textId="77777777" w:rsidR="00E64AF8" w:rsidRPr="005305BB" w:rsidRDefault="00E64AF8" w:rsidP="00E64AF8">
                            <w:pPr>
                              <w:rPr>
                                <w:i/>
                                <w:sz w:val="14"/>
                                <w:szCs w:val="14"/>
                                <w:lang w:val="en-US"/>
                              </w:rPr>
                            </w:pPr>
                            <w:r w:rsidRPr="005305BB">
                              <w:rPr>
                                <w:i/>
                                <w:sz w:val="14"/>
                                <w:szCs w:val="14"/>
                                <w:lang w:val="en-US"/>
                              </w:rPr>
                              <w:t>EIU - Economist Intelligence Unit.</w:t>
                            </w:r>
                          </w:p>
                          <w:p w14:paraId="376CB94E" w14:textId="77777777" w:rsidR="00E64AF8" w:rsidRPr="00F070EA" w:rsidRDefault="00E64AF8" w:rsidP="00E64AF8">
                            <w:pPr>
                              <w:rPr>
                                <w:i/>
                                <w:sz w:val="14"/>
                                <w:szCs w:val="14"/>
                                <w:lang w:val="en-US"/>
                              </w:rPr>
                            </w:pPr>
                            <w:r w:rsidRPr="00F070EA">
                              <w:rPr>
                                <w:i/>
                                <w:sz w:val="14"/>
                                <w:szCs w:val="14"/>
                                <w:lang w:val="en-US"/>
                              </w:rPr>
                              <w:t>ECLAC-Economic Commission for L</w:t>
                            </w:r>
                            <w:r>
                              <w:rPr>
                                <w:i/>
                                <w:sz w:val="14"/>
                                <w:szCs w:val="14"/>
                                <w:lang w:val="en-US"/>
                              </w:rPr>
                              <w:t>atin America and the Caribbean</w:t>
                            </w:r>
                          </w:p>
                          <w:p w14:paraId="610DC372" w14:textId="77777777" w:rsidR="00E64AF8" w:rsidRPr="00F070EA" w:rsidRDefault="00E64AF8" w:rsidP="00E64AF8">
                            <w:pPr>
                              <w:rPr>
                                <w:i/>
                                <w:sz w:val="14"/>
                                <w:szCs w:val="14"/>
                              </w:rPr>
                            </w:pPr>
                            <w:r w:rsidRPr="00F070EA">
                              <w:rPr>
                                <w:i/>
                                <w:sz w:val="14"/>
                                <w:szCs w:val="14"/>
                              </w:rPr>
                              <w:t>IDB – Interamerikanska utvecklingsbanken</w:t>
                            </w:r>
                          </w:p>
                          <w:p w14:paraId="680FCBA5" w14:textId="77777777" w:rsidR="00E64AF8" w:rsidRPr="00F070EA" w:rsidRDefault="00E64AF8" w:rsidP="00E64AF8">
                            <w:pPr>
                              <w:rPr>
                                <w:i/>
                                <w:sz w:val="14"/>
                                <w:szCs w:val="14"/>
                              </w:rPr>
                            </w:pPr>
                            <w:r w:rsidRPr="00F070EA">
                              <w:rPr>
                                <w:i/>
                                <w:sz w:val="14"/>
                                <w:szCs w:val="14"/>
                              </w:rPr>
                              <w:t xml:space="preserve">ONEI - </w:t>
                            </w:r>
                            <w:proofErr w:type="spellStart"/>
                            <w:r w:rsidRPr="00F070EA">
                              <w:rPr>
                                <w:i/>
                                <w:sz w:val="14"/>
                                <w:szCs w:val="14"/>
                              </w:rPr>
                              <w:t>Oficina</w:t>
                            </w:r>
                            <w:proofErr w:type="spellEnd"/>
                            <w:r w:rsidRPr="00F070EA">
                              <w:rPr>
                                <w:i/>
                                <w:sz w:val="14"/>
                                <w:szCs w:val="14"/>
                              </w:rPr>
                              <w:t xml:space="preserve"> </w:t>
                            </w:r>
                            <w:proofErr w:type="spellStart"/>
                            <w:r w:rsidRPr="00F070EA">
                              <w:rPr>
                                <w:i/>
                                <w:sz w:val="14"/>
                                <w:szCs w:val="14"/>
                              </w:rPr>
                              <w:t>Nacional</w:t>
                            </w:r>
                            <w:proofErr w:type="spellEnd"/>
                            <w:r w:rsidRPr="00F070EA">
                              <w:rPr>
                                <w:i/>
                                <w:sz w:val="14"/>
                                <w:szCs w:val="14"/>
                              </w:rPr>
                              <w:t xml:space="preserve"> de </w:t>
                            </w:r>
                            <w:proofErr w:type="spellStart"/>
                            <w:r w:rsidRPr="00F070EA">
                              <w:rPr>
                                <w:i/>
                                <w:sz w:val="14"/>
                                <w:szCs w:val="14"/>
                              </w:rPr>
                              <w:t>Estadística</w:t>
                            </w:r>
                            <w:proofErr w:type="spellEnd"/>
                            <w:r w:rsidRPr="00F070EA">
                              <w:rPr>
                                <w:i/>
                                <w:sz w:val="14"/>
                                <w:szCs w:val="14"/>
                              </w:rPr>
                              <w:t xml:space="preserve"> e </w:t>
                            </w:r>
                            <w:proofErr w:type="spellStart"/>
                            <w:r w:rsidRPr="00F070EA">
                              <w:rPr>
                                <w:i/>
                                <w:sz w:val="14"/>
                                <w:szCs w:val="14"/>
                              </w:rPr>
                              <w:t>Información</w:t>
                            </w:r>
                            <w:proofErr w:type="spellEnd"/>
                          </w:p>
                          <w:p w14:paraId="410473F9" w14:textId="77777777" w:rsidR="00E64AF8" w:rsidRPr="00F070EA" w:rsidRDefault="00E64AF8" w:rsidP="00E64AF8">
                            <w:pPr>
                              <w:rPr>
                                <w:i/>
                                <w:sz w:val="14"/>
                                <w:szCs w:val="14"/>
                              </w:rPr>
                            </w:pPr>
                            <w:r w:rsidRPr="00F070EA">
                              <w:rPr>
                                <w:i/>
                                <w:sz w:val="14"/>
                                <w:szCs w:val="14"/>
                              </w:rPr>
                              <w:t>SCB – Statistiska Centralbyrån</w:t>
                            </w:r>
                          </w:p>
                          <w:p w14:paraId="62E1FB09" w14:textId="77777777" w:rsidR="00E64AF8" w:rsidRPr="00F070EA" w:rsidRDefault="00E64AF8" w:rsidP="00E64AF8">
                            <w:pPr>
                              <w:rPr>
                                <w:i/>
                                <w:sz w:val="14"/>
                                <w:szCs w:val="14"/>
                              </w:rPr>
                            </w:pPr>
                            <w:r w:rsidRPr="00F070EA">
                              <w:rPr>
                                <w:i/>
                                <w:sz w:val="14"/>
                                <w:szCs w:val="14"/>
                              </w:rPr>
                              <w:t>Kommerskollegium</w:t>
                            </w:r>
                          </w:p>
                          <w:p w14:paraId="12687179" w14:textId="77777777" w:rsidR="00E64AF8" w:rsidRPr="0080694F" w:rsidRDefault="00E64AF8" w:rsidP="00E64AF8">
                            <w:pPr>
                              <w:rPr>
                                <w:i/>
                                <w:sz w:val="14"/>
                                <w:szCs w:val="14"/>
                              </w:rPr>
                            </w:pPr>
                          </w:p>
                          <w:p w14:paraId="4BD5E355" w14:textId="77777777" w:rsidR="00E64AF8" w:rsidRDefault="00E64AF8" w:rsidP="00E64AF8">
                            <w:pPr>
                              <w:rPr>
                                <w:i/>
                                <w:sz w:val="14"/>
                                <w:szCs w:val="14"/>
                              </w:rPr>
                            </w:pPr>
                          </w:p>
                          <w:p w14:paraId="677F0C71" w14:textId="77777777" w:rsidR="00E64AF8" w:rsidRDefault="00E64AF8" w:rsidP="00E64AF8">
                            <w:pPr>
                              <w:rPr>
                                <w:i/>
                                <w:sz w:val="14"/>
                                <w:szCs w:val="14"/>
                              </w:rPr>
                            </w:pPr>
                            <w:r>
                              <w:rPr>
                                <w:i/>
                                <w:sz w:val="14"/>
                                <w:szCs w:val="14"/>
                              </w:rPr>
                              <w:t>*</w:t>
                            </w:r>
                            <w:r w:rsidRPr="0080694F">
                              <w:rPr>
                                <w:i/>
                                <w:sz w:val="14"/>
                                <w:szCs w:val="14"/>
                              </w:rPr>
                              <w:t>Siffrorna är svåra att verifiera och bygger delvis på uppskattningar</w:t>
                            </w:r>
                          </w:p>
                          <w:p w14:paraId="100D3FB8" w14:textId="77777777" w:rsidR="00E64AF8" w:rsidRDefault="00E64AF8" w:rsidP="00E64AF8">
                            <w:pPr>
                              <w:rPr>
                                <w:i/>
                                <w:sz w:val="14"/>
                                <w:szCs w:val="14"/>
                              </w:rPr>
                            </w:pPr>
                            <w:r w:rsidRPr="0080694F">
                              <w:rPr>
                                <w:i/>
                                <w:sz w:val="14"/>
                                <w:szCs w:val="14"/>
                              </w:rPr>
                              <w:t>*</w:t>
                            </w:r>
                            <w:r>
                              <w:rPr>
                                <w:i/>
                                <w:sz w:val="14"/>
                                <w:szCs w:val="14"/>
                              </w:rPr>
                              <w:t>*</w:t>
                            </w:r>
                            <w:r w:rsidRPr="0080694F">
                              <w:rPr>
                                <w:i/>
                                <w:sz w:val="14"/>
                                <w:szCs w:val="14"/>
                              </w:rPr>
                              <w:t xml:space="preserve"> </w:t>
                            </w:r>
                            <w:r>
                              <w:rPr>
                                <w:i/>
                                <w:sz w:val="14"/>
                                <w:szCs w:val="14"/>
                              </w:rPr>
                              <w:t>Enligt kubanska statens uppgifter</w:t>
                            </w:r>
                          </w:p>
                          <w:p w14:paraId="67522233" w14:textId="77777777" w:rsidR="00E64AF8" w:rsidRDefault="00E64AF8" w:rsidP="00E64AF8">
                            <w:pPr>
                              <w:rPr>
                                <w:i/>
                                <w:sz w:val="14"/>
                                <w:szCs w:val="14"/>
                              </w:rPr>
                            </w:pPr>
                          </w:p>
                          <w:p w14:paraId="54F6ECBF" w14:textId="77777777" w:rsidR="00E64AF8" w:rsidRDefault="00E64AF8" w:rsidP="00E64AF8">
                            <w:pPr>
                              <w:rPr>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BF3A" id="_x0000_t202" coordsize="21600,21600" o:spt="202" path="m,l,21600r21600,l21600,xe">
                <v:stroke joinstyle="miter"/>
                <v:path gradientshapeok="t" o:connecttype="rect"/>
              </v:shapetype>
              <v:shape id="Text Box 5" o:spid="_x0000_s1026" type="#_x0000_t202" style="position:absolute;margin-left:0;margin-top:0;width:366.9pt;height:4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">
                <v:textbox>
                  <w:txbxContent>
                    <w:p w14:paraId="0CAE4B8F" w14:textId="77777777" w:rsidR="00E64AF8" w:rsidRPr="000A61F1" w:rsidRDefault="00E64AF8" w:rsidP="00E64AF8">
                      <w:pPr>
                        <w:rPr>
                          <w:b/>
                        </w:rPr>
                      </w:pPr>
                      <w:r w:rsidRPr="009376A3">
                        <w:rPr>
                          <w:b/>
                        </w:rPr>
                        <w:t>Basfakta</w:t>
                      </w:r>
                      <w:r>
                        <w:rPr>
                          <w:b/>
                        </w:rPr>
                        <w:t xml:space="preserve"> </w:t>
                      </w:r>
                    </w:p>
                    <w:p w14:paraId="15956EF7" w14:textId="77777777" w:rsidR="00E64AF8" w:rsidRPr="000A61F1" w:rsidRDefault="00E64AF8" w:rsidP="00E64AF8">
                      <w:r w:rsidRPr="000A61F1">
                        <w:t>BNP (nominell):</w:t>
                      </w:r>
                      <w:r>
                        <w:tab/>
                      </w:r>
                      <w:r>
                        <w:tab/>
                        <w:t>106 miljarder USD*</w:t>
                      </w:r>
                      <w:r w:rsidRPr="000A61F1">
                        <w:t xml:space="preserve"> (EIU)</w:t>
                      </w:r>
                    </w:p>
                    <w:p w14:paraId="20CEAE2F" w14:textId="77777777" w:rsidR="00E64AF8" w:rsidRPr="00B6751B" w:rsidRDefault="00E64AF8" w:rsidP="00E64AF8">
                      <w:pPr>
                        <w:rPr>
                          <w:lang w:val="es-ES"/>
                        </w:rPr>
                      </w:pPr>
                      <w:r w:rsidRPr="00B6751B">
                        <w:rPr>
                          <w:lang w:val="es-ES"/>
                        </w:rPr>
                        <w:t>BNP/</w:t>
                      </w:r>
                      <w:proofErr w:type="spellStart"/>
                      <w:r w:rsidRPr="00B6751B">
                        <w:rPr>
                          <w:lang w:val="es-ES"/>
                        </w:rPr>
                        <w:t>capita</w:t>
                      </w:r>
                      <w:proofErr w:type="spellEnd"/>
                      <w:r w:rsidRPr="00B6751B">
                        <w:rPr>
                          <w:lang w:val="es-ES"/>
                        </w:rPr>
                        <w:t xml:space="preserve"> (PPP):</w:t>
                      </w:r>
                      <w:r>
                        <w:rPr>
                          <w:lang w:val="es-ES"/>
                        </w:rPr>
                        <w:tab/>
                        <w:t>14 166</w:t>
                      </w:r>
                      <w:r w:rsidRPr="00B6751B">
                        <w:rPr>
                          <w:lang w:val="es-ES"/>
                        </w:rPr>
                        <w:t xml:space="preserve"> USD</w:t>
                      </w:r>
                      <w:r>
                        <w:rPr>
                          <w:lang w:val="es-ES"/>
                        </w:rPr>
                        <w:t>*</w:t>
                      </w:r>
                      <w:r w:rsidRPr="00B6751B">
                        <w:rPr>
                          <w:lang w:val="es-ES"/>
                        </w:rPr>
                        <w:t xml:space="preserve"> (EIU)</w:t>
                      </w:r>
                    </w:p>
                    <w:p w14:paraId="33FCFA3F" w14:textId="77777777" w:rsidR="00E64AF8" w:rsidRPr="009965FB" w:rsidRDefault="00E64AF8" w:rsidP="00E64AF8">
                      <w:pPr>
                        <w:rPr>
                          <w:lang w:val="es-ES"/>
                        </w:rPr>
                      </w:pPr>
                      <w:r w:rsidRPr="009965FB">
                        <w:rPr>
                          <w:lang w:val="es-ES"/>
                        </w:rPr>
                        <w:t>BNP-</w:t>
                      </w:r>
                      <w:proofErr w:type="spellStart"/>
                      <w:r w:rsidRPr="009965FB">
                        <w:rPr>
                          <w:lang w:val="es-ES"/>
                        </w:rPr>
                        <w:t>tillväxt</w:t>
                      </w:r>
                      <w:proofErr w:type="spellEnd"/>
                      <w:r w:rsidRPr="009965FB">
                        <w:rPr>
                          <w:lang w:val="es-ES"/>
                        </w:rPr>
                        <w:t xml:space="preserve">: </w:t>
                      </w:r>
                      <w:r w:rsidRPr="009965FB">
                        <w:rPr>
                          <w:lang w:val="es-ES"/>
                        </w:rPr>
                        <w:tab/>
                      </w:r>
                      <w:r w:rsidRPr="009965FB">
                        <w:rPr>
                          <w:lang w:val="es-ES"/>
                        </w:rPr>
                        <w:tab/>
                        <w:t xml:space="preserve">0,5 </w:t>
                      </w:r>
                      <w:proofErr w:type="gramStart"/>
                      <w:r w:rsidRPr="009965FB">
                        <w:rPr>
                          <w:lang w:val="es-ES"/>
                        </w:rPr>
                        <w:t>%  (</w:t>
                      </w:r>
                      <w:proofErr w:type="gramEnd"/>
                      <w:r w:rsidRPr="009965FB">
                        <w:rPr>
                          <w:lang w:val="es-ES"/>
                        </w:rPr>
                        <w:t>ECLAC)</w:t>
                      </w:r>
                    </w:p>
                    <w:p w14:paraId="0B190D12" w14:textId="77777777" w:rsidR="00E64AF8" w:rsidRPr="009965FB" w:rsidRDefault="00E64AF8" w:rsidP="00E64AF8">
                      <w:pPr>
                        <w:rPr>
                          <w:color w:val="FF0000"/>
                          <w:lang w:val="es-ES"/>
                        </w:rPr>
                      </w:pPr>
                      <w:proofErr w:type="spellStart"/>
                      <w:r w:rsidRPr="009965FB">
                        <w:rPr>
                          <w:lang w:val="es-ES"/>
                        </w:rPr>
                        <w:t>Medellön</w:t>
                      </w:r>
                      <w:proofErr w:type="spellEnd"/>
                      <w:r w:rsidRPr="009965FB">
                        <w:rPr>
                          <w:lang w:val="es-ES"/>
                        </w:rPr>
                        <w:t>:</w:t>
                      </w:r>
                      <w:r w:rsidRPr="009965FB">
                        <w:rPr>
                          <w:lang w:val="es-ES"/>
                        </w:rPr>
                        <w:tab/>
                      </w:r>
                      <w:r w:rsidRPr="009965FB">
                        <w:rPr>
                          <w:lang w:val="es-ES"/>
                        </w:rPr>
                        <w:tab/>
                      </w:r>
                      <w:r w:rsidRPr="009965FB">
                        <w:rPr>
                          <w:rFonts w:ascii="Garamond" w:hAnsi="Garamond"/>
                          <w:sz w:val="24"/>
                          <w:szCs w:val="24"/>
                          <w:lang w:val="es-ES"/>
                        </w:rPr>
                        <w:t>1067</w:t>
                      </w:r>
                      <w:r w:rsidRPr="009965FB">
                        <w:rPr>
                          <w:color w:val="FF0000"/>
                          <w:lang w:val="es-ES"/>
                        </w:rPr>
                        <w:t xml:space="preserve"> </w:t>
                      </w:r>
                      <w:r w:rsidRPr="009965FB">
                        <w:rPr>
                          <w:lang w:val="es-ES"/>
                        </w:rPr>
                        <w:t>CUP/</w:t>
                      </w:r>
                      <w:proofErr w:type="spellStart"/>
                      <w:r w:rsidRPr="009965FB">
                        <w:rPr>
                          <w:lang w:val="es-ES"/>
                        </w:rPr>
                        <w:t>månad</w:t>
                      </w:r>
                      <w:proofErr w:type="spellEnd"/>
                      <w:r w:rsidRPr="009965FB">
                        <w:rPr>
                          <w:lang w:val="es-ES"/>
                        </w:rPr>
                        <w:t xml:space="preserve"> (ca 42,6 </w:t>
                      </w:r>
                      <w:proofErr w:type="gramStart"/>
                      <w:r w:rsidRPr="009965FB">
                        <w:rPr>
                          <w:lang w:val="es-ES"/>
                        </w:rPr>
                        <w:t>USD)*</w:t>
                      </w:r>
                      <w:proofErr w:type="gramEnd"/>
                      <w:r w:rsidRPr="009965FB">
                        <w:rPr>
                          <w:lang w:val="es-ES"/>
                        </w:rPr>
                        <w:t>*</w:t>
                      </w:r>
                    </w:p>
                    <w:p w14:paraId="5B171845" w14:textId="77777777" w:rsidR="00E64AF8" w:rsidRPr="000A61F1" w:rsidRDefault="00E64AF8" w:rsidP="00E64AF8">
                      <w:r w:rsidRPr="000A61F1">
                        <w:t>Inflation:</w:t>
                      </w:r>
                      <w:r>
                        <w:tab/>
                      </w:r>
                      <w:r>
                        <w:tab/>
                        <w:t>5,5 %*</w:t>
                      </w:r>
                      <w:r w:rsidRPr="000A61F1">
                        <w:t xml:space="preserve"> (EIU)</w:t>
                      </w:r>
                    </w:p>
                    <w:p w14:paraId="200AF9C4" w14:textId="77777777" w:rsidR="00E64AF8" w:rsidRPr="000A61F1" w:rsidRDefault="00E64AF8" w:rsidP="00E64AF8">
                      <w:r w:rsidRPr="000A61F1">
                        <w:t xml:space="preserve">Budgetunderskott: </w:t>
                      </w:r>
                      <w:r>
                        <w:tab/>
                      </w:r>
                      <w:r w:rsidRPr="003F282A">
                        <w:t>7,2 % av BNP 2018* (EIU)</w:t>
                      </w:r>
                    </w:p>
                    <w:p w14:paraId="601CA0DA" w14:textId="77777777" w:rsidR="00E64AF8" w:rsidRPr="000A61F1" w:rsidRDefault="00E64AF8" w:rsidP="00E64AF8">
                      <w:r w:rsidRPr="000A61F1">
                        <w:t xml:space="preserve">Utlandsskuld: </w:t>
                      </w:r>
                      <w:r>
                        <w:tab/>
                      </w:r>
                      <w:r>
                        <w:tab/>
                      </w:r>
                      <w:r w:rsidRPr="000A61F1">
                        <w:t xml:space="preserve">ca </w:t>
                      </w:r>
                      <w:r>
                        <w:t>29,4</w:t>
                      </w:r>
                      <w:r w:rsidRPr="000A61F1">
                        <w:t xml:space="preserve"> miljarder USD</w:t>
                      </w:r>
                      <w:r>
                        <w:t>*</w:t>
                      </w:r>
                      <w:r w:rsidRPr="000A61F1">
                        <w:t xml:space="preserve"> (EIU)</w:t>
                      </w:r>
                    </w:p>
                    <w:p w14:paraId="4553C46E" w14:textId="77777777" w:rsidR="00E64AF8" w:rsidRPr="00AD45D6" w:rsidRDefault="00E64AF8" w:rsidP="00E64AF8">
                      <w:r w:rsidRPr="00AD45D6">
                        <w:t xml:space="preserve">Valuta: </w:t>
                      </w:r>
                      <w:r w:rsidRPr="00AD45D6">
                        <w:tab/>
                      </w:r>
                      <w:r w:rsidRPr="00AD45D6">
                        <w:tab/>
                      </w:r>
                      <w:r w:rsidRPr="00AD45D6">
                        <w:tab/>
                        <w:t>Kubansk peso, CUP, och Konvertibel peso, CUC</w:t>
                      </w:r>
                    </w:p>
                    <w:p w14:paraId="39A385C1" w14:textId="77777777" w:rsidR="00E64AF8" w:rsidRPr="000A61F1" w:rsidRDefault="00E64AF8" w:rsidP="00E64AF8">
                      <w:r w:rsidRPr="000A61F1">
                        <w:t xml:space="preserve">Växelkurs: </w:t>
                      </w:r>
                      <w:r>
                        <w:tab/>
                      </w:r>
                      <w:r>
                        <w:tab/>
                      </w:r>
                      <w:r w:rsidRPr="000A61F1">
                        <w:t>1 CUC = 24 CUP, 1 CUC = 1 USD</w:t>
                      </w:r>
                    </w:p>
                    <w:p w14:paraId="514F1621" w14:textId="77777777" w:rsidR="00E64AF8" w:rsidRPr="000A61F1" w:rsidRDefault="00E64AF8" w:rsidP="00E64AF8">
                      <w:r w:rsidRPr="000A61F1">
                        <w:t>Valutareserv</w:t>
                      </w:r>
                      <w:r>
                        <w:t>:</w:t>
                      </w:r>
                      <w:r>
                        <w:tab/>
                      </w:r>
                      <w:r>
                        <w:tab/>
                        <w:t xml:space="preserve">10 </w:t>
                      </w:r>
                      <w:r w:rsidRPr="000A61F1">
                        <w:t>miljarder</w:t>
                      </w:r>
                      <w:r>
                        <w:t xml:space="preserve"> </w:t>
                      </w:r>
                      <w:r w:rsidRPr="000A61F1">
                        <w:t>USD</w:t>
                      </w:r>
                      <w:r>
                        <w:t>*</w:t>
                      </w:r>
                      <w:r w:rsidRPr="000A61F1">
                        <w:t xml:space="preserve"> (EIU)</w:t>
                      </w:r>
                    </w:p>
                    <w:p w14:paraId="6210C1BC" w14:textId="77777777" w:rsidR="00E64AF8" w:rsidRDefault="00E64AF8" w:rsidP="00E64AF8">
                      <w:r>
                        <w:t>Befolkning:</w:t>
                      </w:r>
                      <w:r>
                        <w:tab/>
                      </w:r>
                      <w:r>
                        <w:tab/>
                        <w:t>11,3 miljoner</w:t>
                      </w:r>
                    </w:p>
                    <w:p w14:paraId="37E529A8" w14:textId="77777777" w:rsidR="00E64AF8" w:rsidRPr="008C11F2" w:rsidRDefault="00E64AF8" w:rsidP="00E64AF8">
                      <w:pPr>
                        <w:rPr>
                          <w:color w:val="FF0000"/>
                        </w:rPr>
                      </w:pPr>
                      <w:r w:rsidRPr="002B74B4">
                        <w:t>Arbetsför befolkning:</w:t>
                      </w:r>
                      <w:r w:rsidRPr="008C11F2">
                        <w:rPr>
                          <w:color w:val="FF0000"/>
                        </w:rPr>
                        <w:tab/>
                      </w:r>
                      <w:r w:rsidRPr="002B74B4">
                        <w:t>5,1 miljoner, varav 30 % i privata sektorn</w:t>
                      </w:r>
                      <w:r>
                        <w:t>**</w:t>
                      </w:r>
                      <w:r w:rsidRPr="002B74B4">
                        <w:t xml:space="preserve"> (ONEI)</w:t>
                      </w:r>
                    </w:p>
                    <w:p w14:paraId="6D7BDC22" w14:textId="77777777" w:rsidR="00E64AF8" w:rsidRPr="000A61F1" w:rsidRDefault="00E64AF8" w:rsidP="00E64AF8">
                      <w:r w:rsidRPr="000A61F1">
                        <w:t>Arbetslöshet:</w:t>
                      </w:r>
                      <w:r>
                        <w:tab/>
                      </w:r>
                      <w:r>
                        <w:tab/>
                      </w:r>
                      <w:r w:rsidRPr="00F201FB">
                        <w:t>ca 1,7 %</w:t>
                      </w:r>
                      <w:r>
                        <w:t xml:space="preserve"> 2018</w:t>
                      </w:r>
                      <w:r w:rsidRPr="00F201FB">
                        <w:t xml:space="preserve">** </w:t>
                      </w:r>
                    </w:p>
                    <w:p w14:paraId="43B8F6D8" w14:textId="77777777" w:rsidR="00E64AF8" w:rsidRPr="000A61F1" w:rsidRDefault="00E64AF8" w:rsidP="00E64AF8">
                      <w:r>
                        <w:t>Varui</w:t>
                      </w:r>
                      <w:r w:rsidRPr="000A61F1">
                        <w:t xml:space="preserve">mport: </w:t>
                      </w:r>
                      <w:r>
                        <w:tab/>
                      </w:r>
                      <w:r>
                        <w:tab/>
                      </w:r>
                      <w:r w:rsidRPr="000A61F1">
                        <w:t>1</w:t>
                      </w:r>
                      <w:r>
                        <w:t xml:space="preserve">0,6 </w:t>
                      </w:r>
                      <w:r w:rsidRPr="000A61F1">
                        <w:t>miljarder USD</w:t>
                      </w:r>
                      <w:r>
                        <w:t xml:space="preserve">* </w:t>
                      </w:r>
                      <w:r w:rsidRPr="000A61F1">
                        <w:t>(EIU)</w:t>
                      </w:r>
                    </w:p>
                    <w:p w14:paraId="29E284ED" w14:textId="77777777" w:rsidR="00E64AF8" w:rsidRDefault="00E64AF8" w:rsidP="00E64AF8">
                      <w:r>
                        <w:t>Varue</w:t>
                      </w:r>
                      <w:r w:rsidRPr="000A61F1">
                        <w:t>xport</w:t>
                      </w:r>
                      <w:r>
                        <w:t>:</w:t>
                      </w:r>
                      <w:r w:rsidRPr="000A61F1">
                        <w:t xml:space="preserve"> </w:t>
                      </w:r>
                      <w:r>
                        <w:tab/>
                      </w:r>
                      <w:r>
                        <w:tab/>
                        <w:t>2,4</w:t>
                      </w:r>
                      <w:r w:rsidRPr="000A61F1">
                        <w:t xml:space="preserve"> miljarder USD</w:t>
                      </w:r>
                      <w:r>
                        <w:t xml:space="preserve">* </w:t>
                      </w:r>
                      <w:r w:rsidRPr="000A61F1">
                        <w:t>(EIU)</w:t>
                      </w:r>
                    </w:p>
                    <w:p w14:paraId="7212445F" w14:textId="77777777" w:rsidR="00E64AF8" w:rsidRPr="000A61F1" w:rsidRDefault="00E64AF8" w:rsidP="00E64AF8">
                      <w:r>
                        <w:t xml:space="preserve">Tjänsteexport: </w:t>
                      </w:r>
                      <w:r>
                        <w:tab/>
                      </w:r>
                      <w:r>
                        <w:tab/>
                        <w:t>9,2 miljarder USD* (EIU)</w:t>
                      </w:r>
                    </w:p>
                    <w:p w14:paraId="41D5ED44" w14:textId="77777777" w:rsidR="00E64AF8" w:rsidRPr="000A61F1" w:rsidRDefault="00E64AF8" w:rsidP="00E64AF8">
                      <w:r w:rsidRPr="000A61F1">
                        <w:t>Bytesbalans:</w:t>
                      </w:r>
                      <w:r>
                        <w:t xml:space="preserve"> </w:t>
                      </w:r>
                      <w:r>
                        <w:tab/>
                      </w:r>
                      <w:r>
                        <w:tab/>
                        <w:t>ca 1,5 miljarder</w:t>
                      </w:r>
                      <w:r w:rsidRPr="000A61F1">
                        <w:t xml:space="preserve"> USD</w:t>
                      </w:r>
                      <w:r>
                        <w:t xml:space="preserve">* </w:t>
                      </w:r>
                      <w:r w:rsidRPr="000A61F1">
                        <w:t>(EIU)</w:t>
                      </w:r>
                    </w:p>
                    <w:p w14:paraId="46FC342D" w14:textId="77777777" w:rsidR="00E64AF8" w:rsidRPr="000A61F1" w:rsidRDefault="00E64AF8" w:rsidP="00E64AF8">
                      <w:r w:rsidRPr="000A61F1">
                        <w:t>Handelsbalans</w:t>
                      </w:r>
                      <w:r>
                        <w:t>:</w:t>
                      </w:r>
                      <w:r w:rsidRPr="000A61F1">
                        <w:t xml:space="preserve"> </w:t>
                      </w:r>
                      <w:r>
                        <w:tab/>
                      </w:r>
                      <w:r>
                        <w:tab/>
                        <w:t xml:space="preserve">- 8,2 miljarder USD* </w:t>
                      </w:r>
                      <w:r w:rsidRPr="000A61F1">
                        <w:t>(EIU)</w:t>
                      </w:r>
                    </w:p>
                    <w:p w14:paraId="546A8075" w14:textId="77777777" w:rsidR="00E64AF8" w:rsidRPr="000A61F1" w:rsidRDefault="00E64AF8" w:rsidP="00E64AF8">
                      <w:pPr>
                        <w:ind w:left="2160" w:hanging="2160"/>
                      </w:pPr>
                      <w:r w:rsidRPr="000A61F1">
                        <w:t xml:space="preserve">Viktiga exportnäringar: </w:t>
                      </w:r>
                      <w:r>
                        <w:tab/>
                      </w:r>
                      <w:r w:rsidRPr="000A61F1">
                        <w:t>Hälsoservice, turism, olja</w:t>
                      </w:r>
                      <w:r>
                        <w:t xml:space="preserve">, </w:t>
                      </w:r>
                      <w:r w:rsidRPr="000A61F1">
                        <w:t>socker,</w:t>
                      </w:r>
                      <w:r>
                        <w:t xml:space="preserve"> tobak, nickel,</w:t>
                      </w:r>
                      <w:r w:rsidRPr="000A61F1">
                        <w:t xml:space="preserve"> farmaceutiska produkter</w:t>
                      </w:r>
                    </w:p>
                    <w:p w14:paraId="14CEE7BE" w14:textId="77777777" w:rsidR="00E64AF8" w:rsidRPr="000A61F1" w:rsidRDefault="00E64AF8" w:rsidP="00E64AF8">
                      <w:pPr>
                        <w:ind w:left="2160" w:hanging="2160"/>
                      </w:pPr>
                      <w:r w:rsidRPr="000A61F1">
                        <w:t xml:space="preserve">Viktiga importprodukter: </w:t>
                      </w:r>
                      <w:r>
                        <w:tab/>
                      </w:r>
                      <w:r w:rsidRPr="000A61F1">
                        <w:t>Olja, livsmedel, maskiner och utrustning, (främst till turistindustrin) kemiska produkter</w:t>
                      </w:r>
                    </w:p>
                    <w:p w14:paraId="609D1254" w14:textId="77777777" w:rsidR="00E64AF8" w:rsidRPr="000A61F1" w:rsidRDefault="00E64AF8" w:rsidP="00E64AF8">
                      <w:pPr>
                        <w:ind w:left="2160" w:hanging="2160"/>
                      </w:pPr>
                      <w:r w:rsidRPr="000A61F1">
                        <w:t>Största handelspartners:</w:t>
                      </w:r>
                      <w:r>
                        <w:t xml:space="preserve"> </w:t>
                      </w:r>
                      <w:r>
                        <w:tab/>
                        <w:t xml:space="preserve">EU (Spanien), Kina, Kanada, Venezuela, Mexiko, Brasilien, Ryssland  </w:t>
                      </w:r>
                    </w:p>
                    <w:p w14:paraId="04D50419" w14:textId="77777777" w:rsidR="00E64AF8" w:rsidRPr="000A61F1" w:rsidRDefault="00E64AF8" w:rsidP="00E64AF8">
                      <w:r w:rsidRPr="000A61F1">
                        <w:t xml:space="preserve">Sveriges export till Kuba: </w:t>
                      </w:r>
                      <w:r>
                        <w:tab/>
                        <w:t>333</w:t>
                      </w:r>
                      <w:r w:rsidRPr="000A61F1">
                        <w:t xml:space="preserve"> miljoner SEK </w:t>
                      </w:r>
                      <w:r>
                        <w:t>2019</w:t>
                      </w:r>
                      <w:r w:rsidRPr="000A61F1">
                        <w:t xml:space="preserve"> (</w:t>
                      </w:r>
                      <w:r>
                        <w:t>SCB</w:t>
                      </w:r>
                      <w:r w:rsidRPr="000A61F1">
                        <w:t>)</w:t>
                      </w:r>
                    </w:p>
                    <w:p w14:paraId="7B0AF5EA" w14:textId="77777777" w:rsidR="00E64AF8" w:rsidRDefault="00E64AF8" w:rsidP="00E64AF8">
                      <w:r w:rsidRPr="000A61F1">
                        <w:t xml:space="preserve">Kubas export till Sverige: </w:t>
                      </w:r>
                      <w:r>
                        <w:tab/>
                        <w:t>38</w:t>
                      </w:r>
                      <w:r w:rsidRPr="000A61F1">
                        <w:t xml:space="preserve"> miljoner SEK </w:t>
                      </w:r>
                      <w:r>
                        <w:t>2019</w:t>
                      </w:r>
                      <w:r w:rsidRPr="000A61F1">
                        <w:t xml:space="preserve"> (</w:t>
                      </w:r>
                      <w:r>
                        <w:t>SCB</w:t>
                      </w:r>
                      <w:r w:rsidRPr="000A61F1">
                        <w:t>)</w:t>
                      </w:r>
                    </w:p>
                    <w:p w14:paraId="6E89131B" w14:textId="77777777" w:rsidR="00E64AF8" w:rsidRPr="000A61F1" w:rsidRDefault="00E64AF8" w:rsidP="00E64AF8"/>
                    <w:p w14:paraId="1BAEF1D1" w14:textId="77777777" w:rsidR="00E64AF8" w:rsidRPr="0080694F" w:rsidRDefault="00E64AF8" w:rsidP="00E64AF8">
                      <w:pPr>
                        <w:rPr>
                          <w:sz w:val="14"/>
                          <w:szCs w:val="14"/>
                        </w:rPr>
                      </w:pPr>
                    </w:p>
                    <w:p w14:paraId="217F8DE8" w14:textId="77777777" w:rsidR="00E64AF8" w:rsidRPr="0080694F" w:rsidRDefault="00E64AF8" w:rsidP="00E64AF8">
                      <w:pPr>
                        <w:rPr>
                          <w:sz w:val="14"/>
                          <w:szCs w:val="14"/>
                        </w:rPr>
                      </w:pPr>
                    </w:p>
                    <w:p w14:paraId="3573D2DA" w14:textId="77777777" w:rsidR="00E64AF8" w:rsidRPr="005305BB" w:rsidRDefault="00E64AF8" w:rsidP="00E64AF8">
                      <w:pPr>
                        <w:rPr>
                          <w:i/>
                          <w:sz w:val="14"/>
                          <w:szCs w:val="14"/>
                          <w:lang w:val="en-US"/>
                        </w:rPr>
                      </w:pPr>
                      <w:r w:rsidRPr="005305BB">
                        <w:rPr>
                          <w:i/>
                          <w:sz w:val="14"/>
                          <w:szCs w:val="14"/>
                          <w:lang w:val="en-US"/>
                        </w:rPr>
                        <w:t>EIU - Economist Intelligence Unit.</w:t>
                      </w:r>
                    </w:p>
                    <w:p w14:paraId="376CB94E" w14:textId="77777777" w:rsidR="00E64AF8" w:rsidRPr="00F070EA" w:rsidRDefault="00E64AF8" w:rsidP="00E64AF8">
                      <w:pPr>
                        <w:rPr>
                          <w:i/>
                          <w:sz w:val="14"/>
                          <w:szCs w:val="14"/>
                          <w:lang w:val="en-US"/>
                        </w:rPr>
                      </w:pPr>
                      <w:r w:rsidRPr="00F070EA">
                        <w:rPr>
                          <w:i/>
                          <w:sz w:val="14"/>
                          <w:szCs w:val="14"/>
                          <w:lang w:val="en-US"/>
                        </w:rPr>
                        <w:t>ECLAC-Economic Commission for L</w:t>
                      </w:r>
                      <w:r>
                        <w:rPr>
                          <w:i/>
                          <w:sz w:val="14"/>
                          <w:szCs w:val="14"/>
                          <w:lang w:val="en-US"/>
                        </w:rPr>
                        <w:t>atin America and the Caribbean</w:t>
                      </w:r>
                    </w:p>
                    <w:p w14:paraId="610DC372" w14:textId="77777777" w:rsidR="00E64AF8" w:rsidRPr="00F070EA" w:rsidRDefault="00E64AF8" w:rsidP="00E64AF8">
                      <w:pPr>
                        <w:rPr>
                          <w:i/>
                          <w:sz w:val="14"/>
                          <w:szCs w:val="14"/>
                        </w:rPr>
                      </w:pPr>
                      <w:r w:rsidRPr="00F070EA">
                        <w:rPr>
                          <w:i/>
                          <w:sz w:val="14"/>
                          <w:szCs w:val="14"/>
                        </w:rPr>
                        <w:t>IDB – Interamerikanska utvecklingsbanken</w:t>
                      </w:r>
                    </w:p>
                    <w:p w14:paraId="680FCBA5" w14:textId="77777777" w:rsidR="00E64AF8" w:rsidRPr="00F070EA" w:rsidRDefault="00E64AF8" w:rsidP="00E64AF8">
                      <w:pPr>
                        <w:rPr>
                          <w:i/>
                          <w:sz w:val="14"/>
                          <w:szCs w:val="14"/>
                        </w:rPr>
                      </w:pPr>
                      <w:r w:rsidRPr="00F070EA">
                        <w:rPr>
                          <w:i/>
                          <w:sz w:val="14"/>
                          <w:szCs w:val="14"/>
                        </w:rPr>
                        <w:t xml:space="preserve">ONEI - </w:t>
                      </w:r>
                      <w:proofErr w:type="spellStart"/>
                      <w:r w:rsidRPr="00F070EA">
                        <w:rPr>
                          <w:i/>
                          <w:sz w:val="14"/>
                          <w:szCs w:val="14"/>
                        </w:rPr>
                        <w:t>Oficina</w:t>
                      </w:r>
                      <w:proofErr w:type="spellEnd"/>
                      <w:r w:rsidRPr="00F070EA">
                        <w:rPr>
                          <w:i/>
                          <w:sz w:val="14"/>
                          <w:szCs w:val="14"/>
                        </w:rPr>
                        <w:t xml:space="preserve"> </w:t>
                      </w:r>
                      <w:proofErr w:type="spellStart"/>
                      <w:r w:rsidRPr="00F070EA">
                        <w:rPr>
                          <w:i/>
                          <w:sz w:val="14"/>
                          <w:szCs w:val="14"/>
                        </w:rPr>
                        <w:t>Nacional</w:t>
                      </w:r>
                      <w:proofErr w:type="spellEnd"/>
                      <w:r w:rsidRPr="00F070EA">
                        <w:rPr>
                          <w:i/>
                          <w:sz w:val="14"/>
                          <w:szCs w:val="14"/>
                        </w:rPr>
                        <w:t xml:space="preserve"> de </w:t>
                      </w:r>
                      <w:proofErr w:type="spellStart"/>
                      <w:r w:rsidRPr="00F070EA">
                        <w:rPr>
                          <w:i/>
                          <w:sz w:val="14"/>
                          <w:szCs w:val="14"/>
                        </w:rPr>
                        <w:t>Estadística</w:t>
                      </w:r>
                      <w:proofErr w:type="spellEnd"/>
                      <w:r w:rsidRPr="00F070EA">
                        <w:rPr>
                          <w:i/>
                          <w:sz w:val="14"/>
                          <w:szCs w:val="14"/>
                        </w:rPr>
                        <w:t xml:space="preserve"> e </w:t>
                      </w:r>
                      <w:proofErr w:type="spellStart"/>
                      <w:r w:rsidRPr="00F070EA">
                        <w:rPr>
                          <w:i/>
                          <w:sz w:val="14"/>
                          <w:szCs w:val="14"/>
                        </w:rPr>
                        <w:t>Información</w:t>
                      </w:r>
                      <w:proofErr w:type="spellEnd"/>
                    </w:p>
                    <w:p w14:paraId="410473F9" w14:textId="77777777" w:rsidR="00E64AF8" w:rsidRPr="00F070EA" w:rsidRDefault="00E64AF8" w:rsidP="00E64AF8">
                      <w:pPr>
                        <w:rPr>
                          <w:i/>
                          <w:sz w:val="14"/>
                          <w:szCs w:val="14"/>
                        </w:rPr>
                      </w:pPr>
                      <w:r w:rsidRPr="00F070EA">
                        <w:rPr>
                          <w:i/>
                          <w:sz w:val="14"/>
                          <w:szCs w:val="14"/>
                        </w:rPr>
                        <w:t>SCB – Statistiska Centralbyrån</w:t>
                      </w:r>
                    </w:p>
                    <w:p w14:paraId="62E1FB09" w14:textId="77777777" w:rsidR="00E64AF8" w:rsidRPr="00F070EA" w:rsidRDefault="00E64AF8" w:rsidP="00E64AF8">
                      <w:pPr>
                        <w:rPr>
                          <w:i/>
                          <w:sz w:val="14"/>
                          <w:szCs w:val="14"/>
                        </w:rPr>
                      </w:pPr>
                      <w:r w:rsidRPr="00F070EA">
                        <w:rPr>
                          <w:i/>
                          <w:sz w:val="14"/>
                          <w:szCs w:val="14"/>
                        </w:rPr>
                        <w:t>Kommerskollegium</w:t>
                      </w:r>
                    </w:p>
                    <w:p w14:paraId="12687179" w14:textId="77777777" w:rsidR="00E64AF8" w:rsidRPr="0080694F" w:rsidRDefault="00E64AF8" w:rsidP="00E64AF8">
                      <w:pPr>
                        <w:rPr>
                          <w:i/>
                          <w:sz w:val="14"/>
                          <w:szCs w:val="14"/>
                        </w:rPr>
                      </w:pPr>
                    </w:p>
                    <w:p w14:paraId="4BD5E355" w14:textId="77777777" w:rsidR="00E64AF8" w:rsidRDefault="00E64AF8" w:rsidP="00E64AF8">
                      <w:pPr>
                        <w:rPr>
                          <w:i/>
                          <w:sz w:val="14"/>
                          <w:szCs w:val="14"/>
                        </w:rPr>
                      </w:pPr>
                    </w:p>
                    <w:p w14:paraId="677F0C71" w14:textId="77777777" w:rsidR="00E64AF8" w:rsidRDefault="00E64AF8" w:rsidP="00E64AF8">
                      <w:pPr>
                        <w:rPr>
                          <w:i/>
                          <w:sz w:val="14"/>
                          <w:szCs w:val="14"/>
                        </w:rPr>
                      </w:pPr>
                      <w:r>
                        <w:rPr>
                          <w:i/>
                          <w:sz w:val="14"/>
                          <w:szCs w:val="14"/>
                        </w:rPr>
                        <w:t>*</w:t>
                      </w:r>
                      <w:r w:rsidRPr="0080694F">
                        <w:rPr>
                          <w:i/>
                          <w:sz w:val="14"/>
                          <w:szCs w:val="14"/>
                        </w:rPr>
                        <w:t>Siffrorna är svåra att verifiera och bygger delvis på uppskattningar</w:t>
                      </w:r>
                    </w:p>
                    <w:p w14:paraId="100D3FB8" w14:textId="77777777" w:rsidR="00E64AF8" w:rsidRDefault="00E64AF8" w:rsidP="00E64AF8">
                      <w:pPr>
                        <w:rPr>
                          <w:i/>
                          <w:sz w:val="14"/>
                          <w:szCs w:val="14"/>
                        </w:rPr>
                      </w:pPr>
                      <w:r w:rsidRPr="0080694F">
                        <w:rPr>
                          <w:i/>
                          <w:sz w:val="14"/>
                          <w:szCs w:val="14"/>
                        </w:rPr>
                        <w:t>*</w:t>
                      </w:r>
                      <w:r>
                        <w:rPr>
                          <w:i/>
                          <w:sz w:val="14"/>
                          <w:szCs w:val="14"/>
                        </w:rPr>
                        <w:t>*</w:t>
                      </w:r>
                      <w:r w:rsidRPr="0080694F">
                        <w:rPr>
                          <w:i/>
                          <w:sz w:val="14"/>
                          <w:szCs w:val="14"/>
                        </w:rPr>
                        <w:t xml:space="preserve"> </w:t>
                      </w:r>
                      <w:r>
                        <w:rPr>
                          <w:i/>
                          <w:sz w:val="14"/>
                          <w:szCs w:val="14"/>
                        </w:rPr>
                        <w:t>Enligt kubanska statens uppgifter</w:t>
                      </w:r>
                    </w:p>
                    <w:p w14:paraId="67522233" w14:textId="77777777" w:rsidR="00E64AF8" w:rsidRDefault="00E64AF8" w:rsidP="00E64AF8">
                      <w:pPr>
                        <w:rPr>
                          <w:i/>
                          <w:sz w:val="14"/>
                          <w:szCs w:val="14"/>
                        </w:rPr>
                      </w:pPr>
                    </w:p>
                    <w:p w14:paraId="54F6ECBF" w14:textId="77777777" w:rsidR="00E64AF8" w:rsidRDefault="00E64AF8" w:rsidP="00E64AF8">
                      <w:pPr>
                        <w:rPr>
                          <w:i/>
                          <w:sz w:val="14"/>
                          <w:szCs w:val="14"/>
                        </w:rPr>
                      </w:pPr>
                    </w:p>
                  </w:txbxContent>
                </v:textbox>
              </v:shape>
            </w:pict>
          </mc:Fallback>
        </mc:AlternateContent>
      </w:r>
    </w:p>
    <w:p w14:paraId="27526295" w14:textId="77777777" w:rsidR="00E64AF8" w:rsidRDefault="00E64AF8" w:rsidP="00E64AF8">
      <w:pPr>
        <w:spacing w:line="276" w:lineRule="auto"/>
        <w:rPr>
          <w:rFonts w:ascii="Garamond" w:hAnsi="Garamond"/>
          <w:b/>
          <w:sz w:val="24"/>
          <w:szCs w:val="24"/>
        </w:rPr>
      </w:pPr>
    </w:p>
    <w:p w14:paraId="1E9CB371" w14:textId="77777777" w:rsidR="00E64AF8" w:rsidRDefault="00E64AF8" w:rsidP="00E64AF8">
      <w:pPr>
        <w:spacing w:line="276" w:lineRule="auto"/>
        <w:rPr>
          <w:rFonts w:ascii="Garamond" w:hAnsi="Garamond"/>
          <w:b/>
          <w:sz w:val="24"/>
          <w:szCs w:val="24"/>
        </w:rPr>
      </w:pPr>
    </w:p>
    <w:p w14:paraId="7C9CAA33" w14:textId="77777777" w:rsidR="00E64AF8" w:rsidRDefault="00E64AF8" w:rsidP="00E64AF8">
      <w:pPr>
        <w:spacing w:line="276" w:lineRule="auto"/>
        <w:rPr>
          <w:rFonts w:ascii="Garamond" w:hAnsi="Garamond"/>
          <w:b/>
          <w:sz w:val="24"/>
          <w:szCs w:val="24"/>
        </w:rPr>
      </w:pPr>
    </w:p>
    <w:p w14:paraId="213A508E" w14:textId="77777777" w:rsidR="00E64AF8" w:rsidRDefault="00E64AF8" w:rsidP="00E64AF8">
      <w:pPr>
        <w:spacing w:line="276" w:lineRule="auto"/>
        <w:rPr>
          <w:rFonts w:ascii="Garamond" w:hAnsi="Garamond"/>
          <w:b/>
          <w:sz w:val="24"/>
          <w:szCs w:val="24"/>
        </w:rPr>
      </w:pPr>
    </w:p>
    <w:p w14:paraId="55310BF6" w14:textId="77777777" w:rsidR="00E64AF8" w:rsidRDefault="00E64AF8" w:rsidP="00E64AF8">
      <w:pPr>
        <w:spacing w:line="276" w:lineRule="auto"/>
        <w:rPr>
          <w:rFonts w:ascii="Garamond" w:hAnsi="Garamond"/>
          <w:b/>
          <w:sz w:val="24"/>
          <w:szCs w:val="24"/>
        </w:rPr>
      </w:pPr>
    </w:p>
    <w:p w14:paraId="55A4B4EE" w14:textId="77777777" w:rsidR="00E64AF8" w:rsidRDefault="00E64AF8" w:rsidP="00E64AF8">
      <w:pPr>
        <w:spacing w:line="276" w:lineRule="auto"/>
        <w:rPr>
          <w:rFonts w:ascii="Garamond" w:hAnsi="Garamond"/>
          <w:b/>
          <w:sz w:val="24"/>
          <w:szCs w:val="24"/>
        </w:rPr>
      </w:pPr>
    </w:p>
    <w:p w14:paraId="2ABE0320" w14:textId="77777777" w:rsidR="00E64AF8" w:rsidRDefault="00E64AF8" w:rsidP="00E64AF8">
      <w:pPr>
        <w:spacing w:line="276" w:lineRule="auto"/>
        <w:rPr>
          <w:rFonts w:ascii="Garamond" w:hAnsi="Garamond"/>
          <w:b/>
          <w:sz w:val="24"/>
          <w:szCs w:val="24"/>
        </w:rPr>
      </w:pPr>
    </w:p>
    <w:p w14:paraId="568AB558" w14:textId="77777777" w:rsidR="00E64AF8" w:rsidRDefault="00E64AF8" w:rsidP="00E64AF8">
      <w:pPr>
        <w:spacing w:line="276" w:lineRule="auto"/>
        <w:rPr>
          <w:rFonts w:ascii="Garamond" w:hAnsi="Garamond"/>
          <w:b/>
          <w:sz w:val="24"/>
          <w:szCs w:val="24"/>
        </w:rPr>
      </w:pPr>
    </w:p>
    <w:p w14:paraId="225BDF31" w14:textId="77777777" w:rsidR="00E64AF8" w:rsidRDefault="00E64AF8" w:rsidP="00E64AF8">
      <w:pPr>
        <w:spacing w:line="276" w:lineRule="auto"/>
        <w:rPr>
          <w:rFonts w:ascii="Garamond" w:hAnsi="Garamond"/>
          <w:b/>
          <w:sz w:val="24"/>
          <w:szCs w:val="24"/>
        </w:rPr>
      </w:pPr>
    </w:p>
    <w:p w14:paraId="398E15B2" w14:textId="77777777" w:rsidR="00E64AF8" w:rsidRDefault="00E64AF8" w:rsidP="00E64AF8">
      <w:pPr>
        <w:spacing w:line="276" w:lineRule="auto"/>
        <w:rPr>
          <w:rFonts w:ascii="Garamond" w:hAnsi="Garamond"/>
          <w:b/>
          <w:sz w:val="24"/>
          <w:szCs w:val="24"/>
        </w:rPr>
      </w:pPr>
    </w:p>
    <w:p w14:paraId="1AE31EAA" w14:textId="77777777" w:rsidR="00E64AF8" w:rsidRDefault="00E64AF8" w:rsidP="00E64AF8">
      <w:pPr>
        <w:spacing w:line="276" w:lineRule="auto"/>
        <w:rPr>
          <w:rFonts w:ascii="Garamond" w:hAnsi="Garamond"/>
          <w:b/>
          <w:sz w:val="24"/>
          <w:szCs w:val="24"/>
        </w:rPr>
      </w:pPr>
    </w:p>
    <w:p w14:paraId="161C20CC" w14:textId="77777777" w:rsidR="00E64AF8" w:rsidRDefault="00E64AF8" w:rsidP="00E64AF8">
      <w:pPr>
        <w:spacing w:line="276" w:lineRule="auto"/>
        <w:rPr>
          <w:rFonts w:ascii="Garamond" w:hAnsi="Garamond"/>
          <w:b/>
          <w:sz w:val="24"/>
          <w:szCs w:val="24"/>
        </w:rPr>
      </w:pPr>
    </w:p>
    <w:p w14:paraId="5022FF0F" w14:textId="77777777" w:rsidR="00E64AF8" w:rsidRDefault="00E64AF8" w:rsidP="00E64AF8">
      <w:pPr>
        <w:spacing w:line="276" w:lineRule="auto"/>
        <w:rPr>
          <w:rFonts w:ascii="Garamond" w:hAnsi="Garamond"/>
          <w:b/>
          <w:sz w:val="24"/>
          <w:szCs w:val="24"/>
        </w:rPr>
      </w:pPr>
    </w:p>
    <w:p w14:paraId="699FD131" w14:textId="77777777" w:rsidR="00E64AF8" w:rsidRDefault="00E64AF8" w:rsidP="00E64AF8">
      <w:pPr>
        <w:spacing w:line="276" w:lineRule="auto"/>
        <w:rPr>
          <w:rFonts w:ascii="Garamond" w:hAnsi="Garamond"/>
          <w:b/>
          <w:sz w:val="24"/>
          <w:szCs w:val="24"/>
        </w:rPr>
      </w:pPr>
    </w:p>
    <w:p w14:paraId="33293079" w14:textId="77777777" w:rsidR="00E64AF8" w:rsidRDefault="00E64AF8" w:rsidP="00E64AF8">
      <w:pPr>
        <w:spacing w:line="276" w:lineRule="auto"/>
        <w:rPr>
          <w:rFonts w:ascii="Garamond" w:hAnsi="Garamond"/>
          <w:b/>
          <w:sz w:val="24"/>
          <w:szCs w:val="24"/>
        </w:rPr>
      </w:pPr>
    </w:p>
    <w:p w14:paraId="4E356C78" w14:textId="77777777" w:rsidR="00E64AF8" w:rsidRDefault="00E64AF8" w:rsidP="00E64AF8">
      <w:pPr>
        <w:spacing w:line="276" w:lineRule="auto"/>
        <w:rPr>
          <w:rFonts w:ascii="Garamond" w:hAnsi="Garamond"/>
          <w:b/>
          <w:sz w:val="24"/>
          <w:szCs w:val="24"/>
        </w:rPr>
      </w:pPr>
    </w:p>
    <w:p w14:paraId="728F219D" w14:textId="77777777" w:rsidR="00E64AF8" w:rsidRDefault="00E64AF8" w:rsidP="00E64AF8">
      <w:pPr>
        <w:spacing w:line="276" w:lineRule="auto"/>
        <w:rPr>
          <w:rFonts w:ascii="Garamond" w:hAnsi="Garamond"/>
          <w:b/>
          <w:sz w:val="24"/>
          <w:szCs w:val="24"/>
        </w:rPr>
      </w:pPr>
    </w:p>
    <w:p w14:paraId="7809850F" w14:textId="77777777" w:rsidR="00E64AF8" w:rsidRDefault="00E64AF8" w:rsidP="00E64AF8">
      <w:pPr>
        <w:spacing w:line="276" w:lineRule="auto"/>
        <w:rPr>
          <w:rFonts w:ascii="Garamond" w:hAnsi="Garamond"/>
          <w:b/>
          <w:sz w:val="24"/>
          <w:szCs w:val="24"/>
        </w:rPr>
      </w:pPr>
    </w:p>
    <w:p w14:paraId="20428890" w14:textId="77777777" w:rsidR="00E64AF8" w:rsidRDefault="00E64AF8" w:rsidP="00E64AF8">
      <w:pPr>
        <w:spacing w:line="276" w:lineRule="auto"/>
        <w:rPr>
          <w:rFonts w:ascii="Garamond" w:hAnsi="Garamond"/>
          <w:b/>
          <w:sz w:val="24"/>
          <w:szCs w:val="24"/>
        </w:rPr>
      </w:pPr>
    </w:p>
    <w:p w14:paraId="337DB662" w14:textId="77777777" w:rsidR="00E64AF8" w:rsidRDefault="00E64AF8" w:rsidP="00E64AF8">
      <w:pPr>
        <w:spacing w:line="276" w:lineRule="auto"/>
        <w:rPr>
          <w:rFonts w:ascii="Garamond" w:hAnsi="Garamond"/>
          <w:b/>
          <w:sz w:val="24"/>
          <w:szCs w:val="24"/>
        </w:rPr>
      </w:pPr>
    </w:p>
    <w:p w14:paraId="78CA9EAC" w14:textId="77777777" w:rsidR="00E64AF8" w:rsidRDefault="00E64AF8" w:rsidP="00E64AF8">
      <w:pPr>
        <w:spacing w:line="276" w:lineRule="auto"/>
        <w:rPr>
          <w:rFonts w:ascii="Garamond" w:hAnsi="Garamond"/>
          <w:b/>
          <w:sz w:val="24"/>
          <w:szCs w:val="24"/>
        </w:rPr>
      </w:pPr>
    </w:p>
    <w:p w14:paraId="10361ADB" w14:textId="77777777" w:rsidR="00E64AF8" w:rsidRDefault="00E64AF8" w:rsidP="00E64AF8">
      <w:pPr>
        <w:spacing w:line="276" w:lineRule="auto"/>
        <w:rPr>
          <w:rFonts w:ascii="Garamond" w:hAnsi="Garamond"/>
          <w:b/>
          <w:sz w:val="24"/>
          <w:szCs w:val="24"/>
        </w:rPr>
      </w:pPr>
    </w:p>
    <w:p w14:paraId="06B10C78" w14:textId="77777777" w:rsidR="00E64AF8" w:rsidRDefault="00E64AF8" w:rsidP="00E64AF8">
      <w:pPr>
        <w:spacing w:line="276" w:lineRule="auto"/>
        <w:rPr>
          <w:rFonts w:ascii="Garamond" w:hAnsi="Garamond"/>
          <w:b/>
          <w:sz w:val="24"/>
          <w:szCs w:val="24"/>
        </w:rPr>
      </w:pPr>
    </w:p>
    <w:p w14:paraId="513800F4" w14:textId="77777777" w:rsidR="00E64AF8" w:rsidRDefault="00E64AF8" w:rsidP="00E64AF8">
      <w:pPr>
        <w:spacing w:line="276" w:lineRule="auto"/>
        <w:rPr>
          <w:rFonts w:ascii="Garamond" w:hAnsi="Garamond"/>
          <w:b/>
          <w:sz w:val="24"/>
          <w:szCs w:val="24"/>
        </w:rPr>
      </w:pPr>
    </w:p>
    <w:p w14:paraId="6C8974AB" w14:textId="77777777" w:rsidR="00E64AF8" w:rsidRDefault="00E64AF8" w:rsidP="00E64AF8">
      <w:pPr>
        <w:spacing w:line="276" w:lineRule="auto"/>
        <w:rPr>
          <w:rFonts w:ascii="Garamond" w:hAnsi="Garamond"/>
          <w:b/>
          <w:sz w:val="24"/>
          <w:szCs w:val="24"/>
        </w:rPr>
      </w:pPr>
    </w:p>
    <w:p w14:paraId="704DB0C4" w14:textId="77777777" w:rsidR="00E64AF8" w:rsidRDefault="00E64AF8" w:rsidP="00E64AF8">
      <w:pPr>
        <w:spacing w:line="276" w:lineRule="auto"/>
        <w:rPr>
          <w:rFonts w:ascii="Garamond" w:hAnsi="Garamond"/>
          <w:b/>
          <w:sz w:val="24"/>
          <w:szCs w:val="24"/>
        </w:rPr>
      </w:pPr>
    </w:p>
    <w:p w14:paraId="6F8337BA" w14:textId="77777777" w:rsidR="00E64AF8" w:rsidRDefault="00E64AF8" w:rsidP="00E64AF8">
      <w:pPr>
        <w:spacing w:line="276" w:lineRule="auto"/>
        <w:rPr>
          <w:rFonts w:ascii="Garamond" w:hAnsi="Garamond"/>
          <w:b/>
          <w:sz w:val="24"/>
          <w:szCs w:val="24"/>
        </w:rPr>
      </w:pPr>
    </w:p>
    <w:p w14:paraId="17FDC366" w14:textId="77777777" w:rsidR="00E64AF8" w:rsidRPr="009C1A50" w:rsidRDefault="00E64AF8" w:rsidP="00E64AF8">
      <w:pPr>
        <w:spacing w:line="276" w:lineRule="auto"/>
        <w:rPr>
          <w:rFonts w:ascii="Garamond" w:hAnsi="Garamond"/>
          <w:b/>
          <w:sz w:val="24"/>
          <w:szCs w:val="24"/>
        </w:rPr>
      </w:pPr>
    </w:p>
    <w:p w14:paraId="7D3DD806" w14:textId="77777777" w:rsidR="00E64AF8" w:rsidRDefault="00E64AF8" w:rsidP="00E64AF8">
      <w:pPr>
        <w:spacing w:line="276" w:lineRule="auto"/>
        <w:rPr>
          <w:rFonts w:ascii="Garamond" w:hAnsi="Garamond"/>
          <w:b/>
          <w:sz w:val="24"/>
          <w:szCs w:val="24"/>
        </w:rPr>
      </w:pPr>
    </w:p>
    <w:p w14:paraId="48955251" w14:textId="77777777" w:rsidR="00E64AF8" w:rsidRDefault="00E64AF8" w:rsidP="00E64AF8">
      <w:pPr>
        <w:spacing w:line="276" w:lineRule="auto"/>
        <w:rPr>
          <w:rFonts w:ascii="Garamond" w:hAnsi="Garamond"/>
          <w:b/>
          <w:sz w:val="24"/>
          <w:szCs w:val="24"/>
        </w:rPr>
      </w:pPr>
    </w:p>
    <w:p w14:paraId="2383DC3F" w14:textId="77777777" w:rsidR="00E64AF8" w:rsidRDefault="00E64AF8" w:rsidP="00E64AF8">
      <w:pPr>
        <w:spacing w:line="276" w:lineRule="auto"/>
        <w:rPr>
          <w:rFonts w:ascii="Garamond" w:hAnsi="Garamond"/>
          <w:b/>
          <w:sz w:val="24"/>
          <w:szCs w:val="24"/>
        </w:rPr>
      </w:pPr>
    </w:p>
    <w:p w14:paraId="14A5292B" w14:textId="77777777" w:rsidR="00E64AF8" w:rsidRDefault="00E64AF8" w:rsidP="00E64AF8">
      <w:pPr>
        <w:spacing w:line="276" w:lineRule="auto"/>
        <w:rPr>
          <w:rFonts w:ascii="Garamond" w:hAnsi="Garamond"/>
          <w:b/>
          <w:sz w:val="24"/>
          <w:szCs w:val="24"/>
        </w:rPr>
      </w:pPr>
    </w:p>
    <w:p w14:paraId="1F2906A7" w14:textId="77777777" w:rsidR="00E64AF8" w:rsidRDefault="00E64AF8" w:rsidP="00E64AF8">
      <w:pPr>
        <w:spacing w:line="276" w:lineRule="auto"/>
        <w:rPr>
          <w:rFonts w:ascii="Garamond" w:hAnsi="Garamond"/>
          <w:b/>
          <w:sz w:val="24"/>
          <w:szCs w:val="24"/>
        </w:rPr>
      </w:pPr>
    </w:p>
    <w:p w14:paraId="03F0F8B5" w14:textId="77777777" w:rsidR="00E64AF8" w:rsidRDefault="00E64AF8" w:rsidP="00E64AF8">
      <w:pPr>
        <w:spacing w:line="276" w:lineRule="auto"/>
        <w:rPr>
          <w:rFonts w:ascii="Garamond" w:hAnsi="Garamond"/>
          <w:b/>
          <w:sz w:val="24"/>
          <w:szCs w:val="24"/>
        </w:rPr>
      </w:pPr>
    </w:p>
    <w:p w14:paraId="4E81E888" w14:textId="77777777" w:rsidR="00E64AF8" w:rsidRDefault="00E64AF8" w:rsidP="00E64AF8">
      <w:pPr>
        <w:spacing w:line="276" w:lineRule="auto"/>
        <w:rPr>
          <w:rFonts w:ascii="Garamond" w:hAnsi="Garamond"/>
          <w:b/>
          <w:sz w:val="24"/>
          <w:szCs w:val="24"/>
        </w:rPr>
      </w:pPr>
    </w:p>
    <w:p w14:paraId="68C28CC2" w14:textId="1E503B17" w:rsidR="00E64AF8" w:rsidRPr="00B60DDF" w:rsidRDefault="00E64AF8" w:rsidP="00E30DAE">
      <w:pPr>
        <w:pStyle w:val="ListParagraph"/>
        <w:numPr>
          <w:ilvl w:val="0"/>
          <w:numId w:val="3"/>
        </w:numPr>
        <w:spacing w:after="200" w:line="276" w:lineRule="auto"/>
        <w:contextualSpacing/>
        <w:jc w:val="both"/>
        <w:rPr>
          <w:rFonts w:ascii="Garamond" w:hAnsi="Garamond"/>
          <w:b/>
          <w:sz w:val="24"/>
          <w:szCs w:val="24"/>
        </w:rPr>
      </w:pPr>
      <w:r w:rsidRPr="00B60DDF">
        <w:rPr>
          <w:rFonts w:ascii="Garamond" w:hAnsi="Garamond"/>
          <w:b/>
          <w:sz w:val="24"/>
          <w:szCs w:val="24"/>
        </w:rPr>
        <w:lastRenderedPageBreak/>
        <w:t xml:space="preserve">Kuba befinner sig i ett svårt ekonomiskt läge. Den ekonomiska tillväxten </w:t>
      </w:r>
      <w:r>
        <w:rPr>
          <w:rFonts w:ascii="Garamond" w:hAnsi="Garamond"/>
          <w:b/>
          <w:sz w:val="24"/>
          <w:szCs w:val="24"/>
        </w:rPr>
        <w:t>uppgick till</w:t>
      </w:r>
      <w:r w:rsidRPr="00B60DDF">
        <w:rPr>
          <w:rFonts w:ascii="Garamond" w:hAnsi="Garamond"/>
          <w:b/>
          <w:sz w:val="24"/>
          <w:szCs w:val="24"/>
        </w:rPr>
        <w:t xml:space="preserve"> 0,5 procent</w:t>
      </w:r>
      <w:r>
        <w:rPr>
          <w:rFonts w:ascii="Garamond" w:hAnsi="Garamond"/>
          <w:b/>
          <w:sz w:val="24"/>
          <w:szCs w:val="24"/>
        </w:rPr>
        <w:t xml:space="preserve"> 2019.</w:t>
      </w:r>
      <w:r w:rsidRPr="00B60DDF">
        <w:rPr>
          <w:rFonts w:ascii="Garamond" w:hAnsi="Garamond"/>
          <w:b/>
          <w:sz w:val="24"/>
          <w:szCs w:val="24"/>
        </w:rPr>
        <w:t xml:space="preserve"> </w:t>
      </w:r>
    </w:p>
    <w:p w14:paraId="0A9EE923" w14:textId="77777777" w:rsidR="00E64AF8" w:rsidRPr="00B60DDF" w:rsidRDefault="00E64AF8" w:rsidP="00E30DAE">
      <w:pPr>
        <w:pStyle w:val="ListParagraph"/>
        <w:numPr>
          <w:ilvl w:val="0"/>
          <w:numId w:val="3"/>
        </w:numPr>
        <w:spacing w:after="200" w:line="276" w:lineRule="auto"/>
        <w:contextualSpacing/>
        <w:jc w:val="both"/>
        <w:rPr>
          <w:rFonts w:ascii="Garamond" w:hAnsi="Garamond"/>
          <w:b/>
          <w:sz w:val="24"/>
          <w:szCs w:val="24"/>
        </w:rPr>
      </w:pPr>
      <w:r w:rsidRPr="00B60DDF">
        <w:rPr>
          <w:rFonts w:ascii="Garamond" w:hAnsi="Garamond"/>
          <w:b/>
          <w:sz w:val="24"/>
          <w:szCs w:val="24"/>
        </w:rPr>
        <w:t xml:space="preserve">Det svåra ekonomiska läget </w:t>
      </w:r>
      <w:r>
        <w:rPr>
          <w:rFonts w:ascii="Garamond" w:hAnsi="Garamond"/>
          <w:b/>
          <w:sz w:val="24"/>
          <w:szCs w:val="24"/>
        </w:rPr>
        <w:t>har bland annat sin grund i</w:t>
      </w:r>
      <w:r w:rsidRPr="00B60DDF">
        <w:rPr>
          <w:rFonts w:ascii="Garamond" w:hAnsi="Garamond"/>
          <w:b/>
          <w:sz w:val="24"/>
          <w:szCs w:val="24"/>
        </w:rPr>
        <w:t xml:space="preserve"> krisen i Venezuela, de allt hårdare sanktionerna från USA, lägre jordbruksproduktion samt bristande genomförande av planerade ekonomiska reformer. </w:t>
      </w:r>
    </w:p>
    <w:p w14:paraId="0D62A475" w14:textId="77777777" w:rsidR="00E64AF8" w:rsidRDefault="00E64AF8" w:rsidP="00E30DAE">
      <w:pPr>
        <w:pStyle w:val="ListParagraph"/>
        <w:numPr>
          <w:ilvl w:val="0"/>
          <w:numId w:val="3"/>
        </w:numPr>
        <w:spacing w:after="200" w:line="276" w:lineRule="auto"/>
        <w:contextualSpacing/>
        <w:jc w:val="both"/>
        <w:rPr>
          <w:rFonts w:ascii="Garamond" w:hAnsi="Garamond" w:cs="Arial"/>
          <w:b/>
          <w:sz w:val="24"/>
          <w:szCs w:val="24"/>
        </w:rPr>
      </w:pPr>
      <w:r w:rsidRPr="00B60DDF">
        <w:rPr>
          <w:rFonts w:ascii="Garamond" w:hAnsi="Garamond" w:cs="Arial"/>
          <w:b/>
          <w:sz w:val="24"/>
          <w:szCs w:val="24"/>
        </w:rPr>
        <w:t xml:space="preserve">Stigande återbetalningar av utlandsskulden leder till svårigheter att uppfylla finansiella åtaganden gentemot leverantörer som i sin tur leder till nedskärningar i importen och därmed varubrist samt sjunkande produktion. </w:t>
      </w:r>
    </w:p>
    <w:p w14:paraId="1C4BCD96" w14:textId="06F7962F" w:rsidR="00E64AF8" w:rsidRPr="0084576F" w:rsidRDefault="00E64AF8" w:rsidP="00E30DAE">
      <w:pPr>
        <w:pStyle w:val="ListParagraph"/>
        <w:numPr>
          <w:ilvl w:val="0"/>
          <w:numId w:val="3"/>
        </w:numPr>
        <w:spacing w:after="200" w:line="276" w:lineRule="auto"/>
        <w:contextualSpacing/>
        <w:jc w:val="both"/>
        <w:rPr>
          <w:rFonts w:ascii="Garamond" w:hAnsi="Garamond"/>
          <w:b/>
          <w:sz w:val="24"/>
          <w:szCs w:val="24"/>
        </w:rPr>
      </w:pPr>
      <w:bookmarkStart w:id="28" w:name="_Hlk23246865"/>
      <w:r>
        <w:rPr>
          <w:rFonts w:ascii="Garamond" w:hAnsi="Garamond"/>
          <w:b/>
          <w:sz w:val="24"/>
          <w:szCs w:val="24"/>
        </w:rPr>
        <w:t xml:space="preserve">Mot </w:t>
      </w:r>
      <w:r w:rsidRPr="0084576F">
        <w:rPr>
          <w:rFonts w:ascii="Garamond" w:hAnsi="Garamond"/>
          <w:b/>
          <w:sz w:val="24"/>
          <w:szCs w:val="24"/>
        </w:rPr>
        <w:t xml:space="preserve">bakgrund av varubristen har Kuba fattat beslut om en rad sparåtgärder, bland annat minskad import och besparingar i bränslekonsumtionen. </w:t>
      </w:r>
    </w:p>
    <w:p w14:paraId="231AA5FF" w14:textId="195DD9E8" w:rsidR="00E64AF8" w:rsidRPr="0084576F" w:rsidRDefault="00E64AF8" w:rsidP="00E30DAE">
      <w:pPr>
        <w:pStyle w:val="ListParagraph"/>
        <w:numPr>
          <w:ilvl w:val="0"/>
          <w:numId w:val="3"/>
        </w:numPr>
        <w:spacing w:after="200" w:line="276" w:lineRule="auto"/>
        <w:contextualSpacing/>
        <w:jc w:val="both"/>
        <w:rPr>
          <w:rFonts w:ascii="Garamond" w:hAnsi="Garamond"/>
          <w:b/>
          <w:sz w:val="24"/>
          <w:szCs w:val="24"/>
        </w:rPr>
      </w:pPr>
      <w:r w:rsidRPr="0084576F">
        <w:rPr>
          <w:rFonts w:ascii="Garamond" w:hAnsi="Garamond"/>
          <w:b/>
          <w:sz w:val="24"/>
          <w:szCs w:val="24"/>
        </w:rPr>
        <w:t xml:space="preserve">Det finns tecken som tyder på att den sedan länge aviserade valutasammanslagningen kommer att ske genom att den konvertibla valutan CUC tas ur cirkulation. </w:t>
      </w:r>
    </w:p>
    <w:bookmarkEnd w:id="28"/>
    <w:p w14:paraId="505EEB72" w14:textId="07AA6032" w:rsidR="00E64AF8" w:rsidRPr="0084576F" w:rsidRDefault="00E64AF8" w:rsidP="00E30DAE">
      <w:pPr>
        <w:pStyle w:val="ListParagraph"/>
        <w:numPr>
          <w:ilvl w:val="0"/>
          <w:numId w:val="3"/>
        </w:numPr>
        <w:spacing w:after="200" w:line="276" w:lineRule="auto"/>
        <w:contextualSpacing/>
        <w:jc w:val="both"/>
        <w:rPr>
          <w:rFonts w:ascii="Garamond" w:hAnsi="Garamond"/>
          <w:b/>
          <w:sz w:val="24"/>
          <w:szCs w:val="24"/>
        </w:rPr>
      </w:pPr>
      <w:r w:rsidRPr="0084576F">
        <w:rPr>
          <w:rFonts w:ascii="Garamond" w:hAnsi="Garamond"/>
          <w:b/>
          <w:sz w:val="24"/>
          <w:szCs w:val="24"/>
        </w:rPr>
        <w:t xml:space="preserve">Turismen minskade med </w:t>
      </w:r>
      <w:r w:rsidR="00820FAD">
        <w:rPr>
          <w:rFonts w:ascii="Garamond" w:hAnsi="Garamond"/>
          <w:b/>
          <w:sz w:val="24"/>
          <w:szCs w:val="24"/>
        </w:rPr>
        <w:t>nio</w:t>
      </w:r>
      <w:r w:rsidRPr="0084576F">
        <w:rPr>
          <w:rFonts w:ascii="Garamond" w:hAnsi="Garamond"/>
          <w:b/>
          <w:sz w:val="24"/>
          <w:szCs w:val="24"/>
        </w:rPr>
        <w:t xml:space="preserve"> procent 2019. </w:t>
      </w:r>
    </w:p>
    <w:p w14:paraId="647B5D03" w14:textId="3CE1CF3C" w:rsidR="00E64AF8" w:rsidRPr="0084576F" w:rsidRDefault="00E64AF8" w:rsidP="00E30DAE">
      <w:pPr>
        <w:pStyle w:val="ListParagraph"/>
        <w:numPr>
          <w:ilvl w:val="0"/>
          <w:numId w:val="3"/>
        </w:numPr>
        <w:spacing w:after="200" w:line="276" w:lineRule="auto"/>
        <w:contextualSpacing/>
        <w:jc w:val="both"/>
        <w:rPr>
          <w:rFonts w:ascii="Garamond" w:hAnsi="Garamond"/>
          <w:b/>
          <w:sz w:val="24"/>
          <w:szCs w:val="24"/>
        </w:rPr>
      </w:pPr>
      <w:r w:rsidRPr="0084576F">
        <w:rPr>
          <w:rFonts w:ascii="Garamond" w:hAnsi="Garamond"/>
          <w:b/>
          <w:sz w:val="24"/>
          <w:szCs w:val="24"/>
        </w:rPr>
        <w:t>Regeringen prioriterar utländska investeringar. Det uppsatta målet är 2,5 mdr USD per år</w:t>
      </w:r>
      <w:r w:rsidR="00CC3FFA">
        <w:rPr>
          <w:rFonts w:ascii="Garamond" w:hAnsi="Garamond"/>
          <w:b/>
          <w:sz w:val="24"/>
          <w:szCs w:val="24"/>
        </w:rPr>
        <w:t>.</w:t>
      </w:r>
      <w:r w:rsidRPr="0084576F">
        <w:rPr>
          <w:rFonts w:ascii="Garamond" w:hAnsi="Garamond"/>
          <w:b/>
          <w:sz w:val="24"/>
          <w:szCs w:val="24"/>
        </w:rPr>
        <w:t xml:space="preserve"> </w:t>
      </w:r>
      <w:r w:rsidR="00CC3FFA">
        <w:rPr>
          <w:rFonts w:ascii="Garamond" w:hAnsi="Garamond"/>
          <w:b/>
          <w:sz w:val="24"/>
          <w:szCs w:val="24"/>
        </w:rPr>
        <w:t>Under</w:t>
      </w:r>
      <w:r w:rsidRPr="0084576F">
        <w:rPr>
          <w:rFonts w:ascii="Garamond" w:hAnsi="Garamond"/>
          <w:b/>
          <w:sz w:val="24"/>
          <w:szCs w:val="24"/>
        </w:rPr>
        <w:t xml:space="preserve"> 2019 gjordes investeringar för 1,7 mdr USD. Försvårande faktorer inkluderar omfattande byråkrati, likviditetsproblem, det dubbla valutasystemet samt den allt hårdare tillämpningen av USA:s embargo. </w:t>
      </w:r>
    </w:p>
    <w:p w14:paraId="6BAC2BCE" w14:textId="77777777" w:rsidR="00E64AF8" w:rsidRPr="0084576F" w:rsidRDefault="00E64AF8" w:rsidP="00E30DAE">
      <w:pPr>
        <w:pStyle w:val="ListParagraph"/>
        <w:numPr>
          <w:ilvl w:val="0"/>
          <w:numId w:val="3"/>
        </w:numPr>
        <w:spacing w:after="200" w:line="276" w:lineRule="auto"/>
        <w:contextualSpacing/>
        <w:jc w:val="both"/>
        <w:rPr>
          <w:rFonts w:ascii="Garamond" w:hAnsi="Garamond"/>
          <w:b/>
          <w:sz w:val="24"/>
          <w:szCs w:val="24"/>
        </w:rPr>
      </w:pPr>
      <w:r w:rsidRPr="0084576F">
        <w:rPr>
          <w:rFonts w:ascii="Garamond" w:hAnsi="Garamond"/>
          <w:b/>
          <w:sz w:val="24"/>
          <w:szCs w:val="24"/>
        </w:rPr>
        <w:t xml:space="preserve">Den privata sektorn har växt de senaste åren och mer än en tredjedel av arbetskraften är numera sysselsatt inom privat näringsverksamhet. </w:t>
      </w:r>
    </w:p>
    <w:p w14:paraId="370542F7" w14:textId="77777777" w:rsidR="00E64AF8" w:rsidRPr="0084576F" w:rsidRDefault="00E64AF8" w:rsidP="00E30DAE">
      <w:pPr>
        <w:pStyle w:val="ListParagraph"/>
        <w:numPr>
          <w:ilvl w:val="0"/>
          <w:numId w:val="3"/>
        </w:numPr>
        <w:spacing w:after="200" w:line="276" w:lineRule="auto"/>
        <w:contextualSpacing/>
        <w:jc w:val="both"/>
        <w:rPr>
          <w:rFonts w:ascii="Garamond" w:hAnsi="Garamond"/>
          <w:b/>
          <w:sz w:val="24"/>
          <w:szCs w:val="24"/>
        </w:rPr>
      </w:pPr>
      <w:bookmarkStart w:id="29" w:name="_Hlk23343564"/>
      <w:r w:rsidRPr="0084576F">
        <w:rPr>
          <w:rFonts w:ascii="Garamond" w:hAnsi="Garamond"/>
          <w:b/>
          <w:sz w:val="24"/>
          <w:szCs w:val="24"/>
        </w:rPr>
        <w:t>Under 2019 uppgick Sveriges export till Kuba till 333 miljoner kronor, medan importen låg på 38 miljoner kronor.</w:t>
      </w:r>
      <w:bookmarkStart w:id="30" w:name="UDkoncept"/>
      <w:bookmarkEnd w:id="29"/>
      <w:bookmarkEnd w:id="30"/>
    </w:p>
    <w:p w14:paraId="5FE6D432" w14:textId="77777777" w:rsidR="00E64AF8" w:rsidRPr="00B60DDF" w:rsidRDefault="00E64AF8" w:rsidP="00E30DAE">
      <w:pPr>
        <w:pStyle w:val="Brdtext1"/>
        <w:spacing w:line="276" w:lineRule="auto"/>
        <w:jc w:val="both"/>
        <w:rPr>
          <w:rFonts w:ascii="Garamond" w:hAnsi="Garamond"/>
          <w:b/>
          <w:sz w:val="20"/>
          <w:szCs w:val="20"/>
        </w:rPr>
      </w:pPr>
    </w:p>
    <w:p w14:paraId="35677388" w14:textId="77777777" w:rsidR="00E64AF8" w:rsidRPr="00B60DDF" w:rsidRDefault="00E64AF8" w:rsidP="00E30DAE">
      <w:pPr>
        <w:spacing w:line="276" w:lineRule="auto"/>
        <w:jc w:val="both"/>
        <w:rPr>
          <w:rFonts w:ascii="Garamond" w:hAnsi="Garamond"/>
          <w:u w:val="single"/>
        </w:rPr>
      </w:pPr>
      <w:r w:rsidRPr="00B60DDF">
        <w:rPr>
          <w:rFonts w:ascii="Garamond" w:hAnsi="Garamond"/>
          <w:u w:val="single"/>
        </w:rPr>
        <w:t>Anmärkning:</w:t>
      </w:r>
    </w:p>
    <w:p w14:paraId="5CC7FB6D" w14:textId="7395FA50" w:rsidR="00E64AF8" w:rsidRPr="00B60DDF" w:rsidRDefault="00E64AF8" w:rsidP="00E30DAE">
      <w:pPr>
        <w:spacing w:line="276" w:lineRule="auto"/>
        <w:jc w:val="both"/>
        <w:rPr>
          <w:rFonts w:ascii="Garamond" w:hAnsi="Garamond"/>
          <w:b/>
          <w:sz w:val="24"/>
          <w:szCs w:val="24"/>
        </w:rPr>
      </w:pPr>
      <w:r w:rsidRPr="00B60DDF">
        <w:rPr>
          <w:rFonts w:ascii="Garamond" w:hAnsi="Garamond"/>
        </w:rPr>
        <w:t xml:space="preserve">Det finns flera svårigheter med att analysera den kubanska ekonomin. Förutom att den kubanska statistiken inte är tillförlitlig är bristen på information stor – både från nationellt och internationellt håll. Rapporten bör därför ses som en </w:t>
      </w:r>
      <w:r w:rsidR="009F094C">
        <w:rPr>
          <w:rFonts w:ascii="Garamond" w:hAnsi="Garamond"/>
        </w:rPr>
        <w:t>bedömning</w:t>
      </w:r>
      <w:r w:rsidRPr="00B60DDF">
        <w:rPr>
          <w:rFonts w:ascii="Garamond" w:hAnsi="Garamond"/>
        </w:rPr>
        <w:t xml:space="preserve"> av situationen baserad på tillgänglig information.</w:t>
      </w:r>
    </w:p>
    <w:p w14:paraId="7F056853" w14:textId="77777777" w:rsidR="00E64AF8" w:rsidRPr="00B60DDF" w:rsidRDefault="00E64AF8" w:rsidP="00E30DAE">
      <w:pPr>
        <w:spacing w:line="276" w:lineRule="auto"/>
        <w:jc w:val="both"/>
        <w:rPr>
          <w:rFonts w:ascii="Garamond" w:hAnsi="Garamond"/>
          <w:b/>
          <w:sz w:val="24"/>
          <w:szCs w:val="24"/>
        </w:rPr>
      </w:pPr>
    </w:p>
    <w:p w14:paraId="0D802F4B" w14:textId="77777777" w:rsidR="00E64AF8" w:rsidRPr="00B60DDF" w:rsidRDefault="00E64AF8" w:rsidP="00E30DAE">
      <w:pPr>
        <w:spacing w:line="276" w:lineRule="auto"/>
        <w:jc w:val="both"/>
        <w:rPr>
          <w:rFonts w:ascii="Garamond" w:hAnsi="Garamond"/>
          <w:b/>
          <w:sz w:val="24"/>
          <w:szCs w:val="24"/>
        </w:rPr>
      </w:pPr>
      <w:r w:rsidRPr="00B60DDF">
        <w:rPr>
          <w:rFonts w:ascii="Garamond" w:hAnsi="Garamond"/>
          <w:b/>
          <w:sz w:val="24"/>
          <w:szCs w:val="24"/>
        </w:rPr>
        <w:t>Bakgrund</w:t>
      </w:r>
    </w:p>
    <w:p w14:paraId="09A2FC88"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Kuba är Karibiens största och, med 11,3 miljoner invånare, näst folkrikaste ö, belägen bara 150 km från USA. Landet har en turbulent ekonomisk historia kantad av missöden och ekonomiskt svåra tider för befolkningen. Före revolutionen 1959 var den överlägset största handelspartnern USA och amerikanska storföretag ägde stora delar av landet och kontrollerade till stor del ekonomin. Den kubanska ekonomin var beroende av sockerproduktionen som </w:t>
      </w:r>
      <w:r w:rsidRPr="00B60DDF">
        <w:rPr>
          <w:rFonts w:ascii="Garamond" w:hAnsi="Garamond"/>
          <w:sz w:val="24"/>
          <w:szCs w:val="24"/>
        </w:rPr>
        <w:lastRenderedPageBreak/>
        <w:t>till 90 procent exporterades till USA. Spritförbudet i USA 1920–33 stimulerade turismen till Kuba och amerikansk maffia kom sedermera att kontrollera den växande kasino- och hotellsektorn.</w:t>
      </w:r>
    </w:p>
    <w:p w14:paraId="4CBEAE4B" w14:textId="77777777" w:rsidR="00E64AF8" w:rsidRPr="00B60DDF" w:rsidRDefault="00E64AF8" w:rsidP="00E30DAE">
      <w:pPr>
        <w:spacing w:line="276" w:lineRule="auto"/>
        <w:jc w:val="both"/>
        <w:rPr>
          <w:rFonts w:ascii="Garamond" w:hAnsi="Garamond"/>
          <w:sz w:val="24"/>
          <w:szCs w:val="24"/>
        </w:rPr>
      </w:pPr>
    </w:p>
    <w:p w14:paraId="4A3158A0" w14:textId="5BB0CFA3"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Efter den kubanska revolutionen 1959 förändrades ekonomin i grunden. Utländska företag och tillgångar förstatligades, vilket USA reagerade mot genom att införa ett handelsembargo. Kuba, å sin sida, sökte nära relationer med Sovjetunionen, som blev den viktigaste bundsförvanten både ekonomiskt och politiskt under kommande decennier.</w:t>
      </w:r>
    </w:p>
    <w:p w14:paraId="6221C2BF" w14:textId="77777777" w:rsidR="00E64AF8" w:rsidRPr="00B60DDF" w:rsidRDefault="00E64AF8" w:rsidP="00E30DAE">
      <w:pPr>
        <w:spacing w:line="276" w:lineRule="auto"/>
        <w:jc w:val="both"/>
        <w:rPr>
          <w:rFonts w:ascii="Garamond" w:hAnsi="Garamond"/>
          <w:sz w:val="24"/>
          <w:szCs w:val="24"/>
        </w:rPr>
      </w:pPr>
    </w:p>
    <w:p w14:paraId="4439044F"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Sovjetunionens upplösning 1991 fick förödande konsekvenser för den kubanska ekonomin: BNP beräknas ha minskat med </w:t>
      </w:r>
      <w:r>
        <w:rPr>
          <w:rFonts w:ascii="Garamond" w:hAnsi="Garamond"/>
          <w:sz w:val="24"/>
          <w:szCs w:val="24"/>
        </w:rPr>
        <w:t>cirka</w:t>
      </w:r>
      <w:r w:rsidRPr="00B60DDF">
        <w:rPr>
          <w:rFonts w:ascii="Garamond" w:hAnsi="Garamond"/>
          <w:sz w:val="24"/>
          <w:szCs w:val="24"/>
        </w:rPr>
        <w:t xml:space="preserve"> hälften under första delen av nittiotalet. Under denna tid, som officiellt kallas </w:t>
      </w:r>
      <w:r w:rsidRPr="00B60DDF">
        <w:rPr>
          <w:rFonts w:ascii="Garamond" w:hAnsi="Garamond"/>
          <w:i/>
          <w:sz w:val="24"/>
          <w:szCs w:val="24"/>
        </w:rPr>
        <w:t xml:space="preserve">el </w:t>
      </w:r>
      <w:proofErr w:type="spellStart"/>
      <w:r w:rsidRPr="00B60DDF">
        <w:rPr>
          <w:rFonts w:ascii="Garamond" w:hAnsi="Garamond"/>
          <w:i/>
          <w:sz w:val="24"/>
          <w:szCs w:val="24"/>
        </w:rPr>
        <w:t>período</w:t>
      </w:r>
      <w:proofErr w:type="spellEnd"/>
      <w:r w:rsidRPr="00B60DDF">
        <w:rPr>
          <w:rFonts w:ascii="Garamond" w:hAnsi="Garamond"/>
          <w:i/>
          <w:sz w:val="24"/>
          <w:szCs w:val="24"/>
        </w:rPr>
        <w:t xml:space="preserve"> </w:t>
      </w:r>
      <w:proofErr w:type="spellStart"/>
      <w:r w:rsidRPr="00B60DDF">
        <w:rPr>
          <w:rFonts w:ascii="Garamond" w:hAnsi="Garamond"/>
          <w:i/>
          <w:sz w:val="24"/>
          <w:szCs w:val="24"/>
        </w:rPr>
        <w:t>especial</w:t>
      </w:r>
      <w:proofErr w:type="spellEnd"/>
      <w:r w:rsidRPr="00B60DDF">
        <w:rPr>
          <w:rFonts w:ascii="Garamond" w:hAnsi="Garamond"/>
          <w:sz w:val="24"/>
          <w:szCs w:val="24"/>
        </w:rPr>
        <w:t xml:space="preserve">, ”den speciella perioden”, genomfördes en rad reformer som tidigare framstått som otänkbara. Dollarinnehav legaliserades, liksom överföringar av dollar från släktingar i utlandet. </w:t>
      </w:r>
      <w:r>
        <w:rPr>
          <w:rFonts w:ascii="Garamond" w:hAnsi="Garamond"/>
          <w:sz w:val="24"/>
          <w:szCs w:val="24"/>
        </w:rPr>
        <w:t xml:space="preserve">Privat näringsverksamhet inom vissa serviceyrken började tillåtas </w:t>
      </w:r>
      <w:r w:rsidRPr="00B60DDF">
        <w:rPr>
          <w:rFonts w:ascii="Garamond" w:hAnsi="Garamond"/>
          <w:sz w:val="24"/>
          <w:szCs w:val="24"/>
        </w:rPr>
        <w:t xml:space="preserve">– s.k. </w:t>
      </w:r>
      <w:proofErr w:type="spellStart"/>
      <w:r w:rsidRPr="00B60DDF">
        <w:rPr>
          <w:rFonts w:ascii="Garamond" w:hAnsi="Garamond"/>
          <w:i/>
          <w:sz w:val="24"/>
          <w:szCs w:val="24"/>
        </w:rPr>
        <w:t>cuentapropismo</w:t>
      </w:r>
      <w:proofErr w:type="spellEnd"/>
      <w:r w:rsidRPr="00B60DDF">
        <w:rPr>
          <w:rFonts w:ascii="Garamond" w:hAnsi="Garamond"/>
          <w:sz w:val="24"/>
          <w:szCs w:val="24"/>
        </w:rPr>
        <w:t>. Satsningar för att främja utländska investeringar genomfördes framför allt i turistsektorn. Viss decentralisering av statlig verksamhet och social service genomfördes. Statliga bolag fick självständigt ansvar för produktion och försäljning, något som tidigare legat direkt under ministerier. Med hjälp av dessa åtgärder tog ekonomin viss fart igen och under senare hälften av 1990-talet låg tillväxten på 4,7 procent i genomsnitt.</w:t>
      </w:r>
      <w:r w:rsidRPr="00B60DDF">
        <w:rPr>
          <w:rStyle w:val="FootnoteReference"/>
          <w:rFonts w:ascii="Garamond" w:hAnsi="Garamond"/>
          <w:sz w:val="24"/>
          <w:szCs w:val="24"/>
        </w:rPr>
        <w:footnoteReference w:id="1"/>
      </w:r>
      <w:r w:rsidRPr="00B60DDF">
        <w:rPr>
          <w:rFonts w:ascii="Garamond" w:hAnsi="Garamond"/>
          <w:sz w:val="24"/>
          <w:szCs w:val="24"/>
        </w:rPr>
        <w:t xml:space="preserve"> Flera av ovanstående reformer drogs dock tillbaka då ekonomin stabiliserades, och kubanernas levnadsstandard har ännu inte återställts till den nivå den var på i slutet av 1980-talet.</w:t>
      </w:r>
    </w:p>
    <w:p w14:paraId="5A672C41" w14:textId="77777777" w:rsidR="00E64AF8" w:rsidRPr="00B60DDF" w:rsidRDefault="00E64AF8" w:rsidP="00E30DAE">
      <w:pPr>
        <w:spacing w:line="276" w:lineRule="auto"/>
        <w:jc w:val="both"/>
        <w:rPr>
          <w:rFonts w:ascii="Garamond" w:hAnsi="Garamond"/>
          <w:sz w:val="24"/>
          <w:szCs w:val="24"/>
        </w:rPr>
      </w:pPr>
    </w:p>
    <w:p w14:paraId="4319A67C"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I början av 2000-talet fann Kuba en ny ekonomisk sponsor i Hugo </w:t>
      </w:r>
      <w:proofErr w:type="spellStart"/>
      <w:r w:rsidRPr="00B60DDF">
        <w:rPr>
          <w:rFonts w:ascii="Garamond" w:hAnsi="Garamond"/>
          <w:sz w:val="24"/>
          <w:szCs w:val="24"/>
        </w:rPr>
        <w:t>Chávez</w:t>
      </w:r>
      <w:proofErr w:type="spellEnd"/>
      <w:r w:rsidRPr="00B60DDF">
        <w:rPr>
          <w:rFonts w:ascii="Garamond" w:hAnsi="Garamond"/>
          <w:sz w:val="24"/>
          <w:szCs w:val="24"/>
        </w:rPr>
        <w:t xml:space="preserve"> socialistiska Venezuela, som började exportera olja till förmånliga villkor i utbyte mot export av kubanska professionella tjänster, framförallt läkare och annan sjukvårdspersonal. Kuba kunde dessutom re-exportera en del av den venezolanska oljan och därmed tjäna utländsk valuta. Med Venezuelas tilltagande ekonomiska problem och erfarenheterna från det abrupta slutet på Sovjetunionens ekonomiska stöd i åtanke, har Kuba dock på senare år försökt minska beroendet av Venezuelas oljesubventioner genom att diversifiera ekonomin. Kubas historiska beroende av sockerexport har också minskat, och istället har export av hälsovårdstjänster, turism och nickelexport blivit viktiga näringar för landet. </w:t>
      </w:r>
      <w:r>
        <w:rPr>
          <w:rFonts w:ascii="Garamond" w:hAnsi="Garamond"/>
          <w:sz w:val="24"/>
          <w:szCs w:val="24"/>
        </w:rPr>
        <w:t>Inflödet</w:t>
      </w:r>
      <w:r w:rsidRPr="00B60DDF">
        <w:rPr>
          <w:rFonts w:ascii="Garamond" w:hAnsi="Garamond"/>
          <w:sz w:val="24"/>
          <w:szCs w:val="24"/>
        </w:rPr>
        <w:t xml:space="preserve"> av remitteringar </w:t>
      </w:r>
      <w:r>
        <w:rPr>
          <w:rFonts w:ascii="Garamond" w:hAnsi="Garamond"/>
          <w:sz w:val="24"/>
          <w:szCs w:val="24"/>
        </w:rPr>
        <w:t xml:space="preserve">för de två miljoner kubaner som bor utanför Kuba </w:t>
      </w:r>
      <w:r w:rsidRPr="00B60DDF">
        <w:rPr>
          <w:rFonts w:ascii="Garamond" w:hAnsi="Garamond"/>
          <w:sz w:val="24"/>
          <w:szCs w:val="24"/>
        </w:rPr>
        <w:t>är likaså viktig för ekonomin.</w:t>
      </w:r>
    </w:p>
    <w:p w14:paraId="4A14B9F7" w14:textId="77777777" w:rsidR="00E64AF8" w:rsidRPr="00B60DDF" w:rsidRDefault="00E64AF8" w:rsidP="00E30DAE">
      <w:pPr>
        <w:spacing w:line="276" w:lineRule="auto"/>
        <w:jc w:val="both"/>
        <w:rPr>
          <w:rFonts w:ascii="Garamond" w:hAnsi="Garamond"/>
          <w:sz w:val="24"/>
          <w:szCs w:val="24"/>
          <w:highlight w:val="yellow"/>
        </w:rPr>
      </w:pPr>
    </w:p>
    <w:p w14:paraId="182F072F" w14:textId="2AB61623"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lastRenderedPageBreak/>
        <w:t xml:space="preserve">Sedan </w:t>
      </w:r>
      <w:proofErr w:type="spellStart"/>
      <w:r w:rsidRPr="00B60DDF">
        <w:rPr>
          <w:rFonts w:ascii="Garamond" w:hAnsi="Garamond"/>
          <w:sz w:val="24"/>
          <w:szCs w:val="24"/>
        </w:rPr>
        <w:t>Raúl</w:t>
      </w:r>
      <w:proofErr w:type="spellEnd"/>
      <w:r w:rsidRPr="00B60DDF">
        <w:rPr>
          <w:rFonts w:ascii="Garamond" w:hAnsi="Garamond"/>
          <w:sz w:val="24"/>
          <w:szCs w:val="24"/>
        </w:rPr>
        <w:t xml:space="preserve"> Castro övertog presidentposten 2008</w:t>
      </w:r>
      <w:r>
        <w:rPr>
          <w:rFonts w:ascii="Garamond" w:hAnsi="Garamond"/>
          <w:sz w:val="24"/>
          <w:szCs w:val="24"/>
        </w:rPr>
        <w:t xml:space="preserve"> från sin bror Fidel Castro</w:t>
      </w:r>
      <w:r w:rsidRPr="00B60DDF">
        <w:rPr>
          <w:rFonts w:ascii="Garamond" w:hAnsi="Garamond"/>
          <w:sz w:val="24"/>
          <w:szCs w:val="24"/>
        </w:rPr>
        <w:t xml:space="preserve"> började Kuba i blygsam takt på nytt förändra det socialistiska ekonomiska systemet med ett flertal reformer för att bana väg för privat företagande och en öppning av ekonomin, även för utländska investeringar</w:t>
      </w:r>
      <w:r w:rsidR="009F094C">
        <w:rPr>
          <w:rFonts w:ascii="Garamond" w:hAnsi="Garamond"/>
          <w:sz w:val="24"/>
          <w:szCs w:val="24"/>
        </w:rPr>
        <w:t xml:space="preserve">. </w:t>
      </w:r>
      <w:r w:rsidRPr="00B60DDF">
        <w:rPr>
          <w:rFonts w:ascii="Garamond" w:hAnsi="Garamond"/>
          <w:sz w:val="24"/>
          <w:szCs w:val="24"/>
        </w:rPr>
        <w:t xml:space="preserve">Den nuvarande presidenten sedan april 2018, Miguel </w:t>
      </w:r>
      <w:proofErr w:type="spellStart"/>
      <w:r w:rsidRPr="00B60DDF">
        <w:rPr>
          <w:rFonts w:ascii="Garamond" w:hAnsi="Garamond"/>
          <w:sz w:val="24"/>
          <w:szCs w:val="24"/>
        </w:rPr>
        <w:t>Díaz-Canel</w:t>
      </w:r>
      <w:proofErr w:type="spellEnd"/>
      <w:r w:rsidRPr="00B60DDF">
        <w:rPr>
          <w:rFonts w:ascii="Garamond" w:hAnsi="Garamond"/>
          <w:sz w:val="24"/>
          <w:szCs w:val="24"/>
        </w:rPr>
        <w:t>, har fortsatt på samma spår.</w:t>
      </w:r>
    </w:p>
    <w:p w14:paraId="5F33505E" w14:textId="77777777" w:rsidR="00E64AF8" w:rsidRPr="00B60DDF" w:rsidRDefault="00E64AF8" w:rsidP="00E30DAE">
      <w:pPr>
        <w:spacing w:line="276" w:lineRule="auto"/>
        <w:jc w:val="both"/>
        <w:rPr>
          <w:rFonts w:ascii="Garamond" w:hAnsi="Garamond"/>
          <w:sz w:val="24"/>
          <w:szCs w:val="24"/>
        </w:rPr>
      </w:pPr>
    </w:p>
    <w:p w14:paraId="4E9F0C20" w14:textId="4D267879"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Som ett led i det reformpaket som officiellt antogs på Kommunistpartiets sjätte partikongress 2011 beslutades om ett paket med genomgripande reformer, s.k. ”ekonomiska och sociala riktlinjer”. </w:t>
      </w:r>
      <w:r w:rsidR="009F094C">
        <w:rPr>
          <w:rFonts w:ascii="Garamond" w:hAnsi="Garamond"/>
          <w:sz w:val="24"/>
          <w:szCs w:val="24"/>
        </w:rPr>
        <w:t>B</w:t>
      </w:r>
      <w:r w:rsidR="009F094C" w:rsidRPr="00B60DDF">
        <w:rPr>
          <w:rFonts w:ascii="Garamond" w:hAnsi="Garamond"/>
          <w:sz w:val="24"/>
          <w:szCs w:val="24"/>
        </w:rPr>
        <w:t>land annat</w:t>
      </w:r>
      <w:r w:rsidRPr="00B60DDF">
        <w:rPr>
          <w:rFonts w:ascii="Garamond" w:hAnsi="Garamond"/>
          <w:sz w:val="24"/>
          <w:szCs w:val="24"/>
        </w:rPr>
        <w:t xml:space="preserve"> öppnade regimen</w:t>
      </w:r>
      <w:r w:rsidR="009F094C">
        <w:rPr>
          <w:rFonts w:ascii="Garamond" w:hAnsi="Garamond"/>
          <w:sz w:val="24"/>
          <w:szCs w:val="24"/>
        </w:rPr>
        <w:t xml:space="preserve"> upp</w:t>
      </w:r>
      <w:r w:rsidRPr="00B60DDF">
        <w:rPr>
          <w:rFonts w:ascii="Garamond" w:hAnsi="Garamond"/>
          <w:sz w:val="24"/>
          <w:szCs w:val="24"/>
        </w:rPr>
        <w:t xml:space="preserve"> för kubaner att bedriva privat verksamhet, huvudsakligen </w:t>
      </w:r>
      <w:r>
        <w:rPr>
          <w:rFonts w:ascii="Garamond" w:hAnsi="Garamond"/>
          <w:sz w:val="24"/>
          <w:szCs w:val="24"/>
        </w:rPr>
        <w:t xml:space="preserve">för yrken </w:t>
      </w:r>
      <w:r w:rsidRPr="00B60DDF">
        <w:rPr>
          <w:rFonts w:ascii="Garamond" w:hAnsi="Garamond"/>
          <w:sz w:val="24"/>
          <w:szCs w:val="24"/>
        </w:rPr>
        <w:t>inom servicesektorn. Det meddelades samtidigt att statliga företag skulle förlora sina subventioner, tillåtas gå i konkurs samt behålla en del av sin vinst för nyinvesteringar, och man ställde i utsikt att en miljon statligt anställda skulle förlora sina jobb. Syftet med reformerna var att effektivisera den statliga sektorn, minska statens utgifter och öka landets produktivitet och tillväxt.</w:t>
      </w:r>
    </w:p>
    <w:p w14:paraId="46A109A2" w14:textId="77777777" w:rsidR="00E64AF8" w:rsidRPr="00B60DDF" w:rsidRDefault="00E64AF8" w:rsidP="00E30DAE">
      <w:pPr>
        <w:spacing w:line="276" w:lineRule="auto"/>
        <w:jc w:val="both"/>
        <w:rPr>
          <w:rFonts w:ascii="Garamond" w:hAnsi="Garamond"/>
          <w:sz w:val="24"/>
          <w:szCs w:val="24"/>
        </w:rPr>
      </w:pPr>
    </w:p>
    <w:p w14:paraId="2AFB55CF"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Genomförandet av reformerna går emellertid långsamt och kantas av byråkratiska hinder. Enligt regeringen har endast drygt 20 procent av reformpaketet genomförts hittills. Den privata sektorn har dock vuxit – </w:t>
      </w:r>
      <w:r>
        <w:rPr>
          <w:rFonts w:ascii="Garamond" w:hAnsi="Garamond"/>
          <w:sz w:val="24"/>
          <w:szCs w:val="24"/>
        </w:rPr>
        <w:t>numera</w:t>
      </w:r>
      <w:r w:rsidRPr="00B60DDF">
        <w:rPr>
          <w:rFonts w:ascii="Garamond" w:hAnsi="Garamond"/>
          <w:sz w:val="24"/>
          <w:szCs w:val="24"/>
        </w:rPr>
        <w:t xml:space="preserve"> arbetar </w:t>
      </w:r>
      <w:r>
        <w:rPr>
          <w:rFonts w:ascii="Garamond" w:hAnsi="Garamond"/>
          <w:sz w:val="24"/>
          <w:szCs w:val="24"/>
        </w:rPr>
        <w:t>drygt</w:t>
      </w:r>
      <w:r w:rsidRPr="00B60DDF">
        <w:rPr>
          <w:rFonts w:ascii="Garamond" w:hAnsi="Garamond"/>
          <w:sz w:val="24"/>
          <w:szCs w:val="24"/>
        </w:rPr>
        <w:t xml:space="preserve"> 30 procent av den arbetsföra befolkningen inom den privata sektorn, varav knappt en femtedel som egenföretagare och resten som anställda.</w:t>
      </w:r>
    </w:p>
    <w:p w14:paraId="0717A465" w14:textId="77777777" w:rsidR="00E64AF8" w:rsidRPr="00B60DDF" w:rsidRDefault="00E64AF8" w:rsidP="00E30DAE">
      <w:pPr>
        <w:spacing w:line="276" w:lineRule="auto"/>
        <w:jc w:val="both"/>
        <w:rPr>
          <w:rFonts w:ascii="Garamond" w:hAnsi="Garamond"/>
          <w:sz w:val="24"/>
          <w:szCs w:val="24"/>
        </w:rPr>
      </w:pPr>
    </w:p>
    <w:p w14:paraId="310A6107"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En särskild ekonomisk zon </w:t>
      </w:r>
      <w:r>
        <w:rPr>
          <w:rFonts w:ascii="Garamond" w:hAnsi="Garamond"/>
          <w:sz w:val="24"/>
          <w:szCs w:val="24"/>
        </w:rPr>
        <w:t>inrättades 2014</w:t>
      </w:r>
      <w:r w:rsidRPr="00B60DDF">
        <w:rPr>
          <w:rFonts w:ascii="Garamond" w:hAnsi="Garamond"/>
          <w:sz w:val="24"/>
          <w:szCs w:val="24"/>
        </w:rPr>
        <w:t xml:space="preserve"> i hamnen </w:t>
      </w:r>
      <w:proofErr w:type="spellStart"/>
      <w:r w:rsidRPr="00B60DDF">
        <w:rPr>
          <w:rFonts w:ascii="Garamond" w:hAnsi="Garamond"/>
          <w:sz w:val="24"/>
          <w:szCs w:val="24"/>
        </w:rPr>
        <w:t>Mariel</w:t>
      </w:r>
      <w:proofErr w:type="spellEnd"/>
      <w:r w:rsidRPr="00B60DDF">
        <w:rPr>
          <w:rFonts w:ascii="Garamond" w:hAnsi="Garamond"/>
          <w:sz w:val="24"/>
          <w:szCs w:val="24"/>
        </w:rPr>
        <w:t xml:space="preserve">, 40 km väster om Havanna, för att locka utländska företag. En lag för utlandsinvesteringar antogs </w:t>
      </w:r>
      <w:r>
        <w:rPr>
          <w:rFonts w:ascii="Garamond" w:hAnsi="Garamond"/>
          <w:sz w:val="24"/>
          <w:szCs w:val="24"/>
        </w:rPr>
        <w:t>samma år</w:t>
      </w:r>
      <w:r w:rsidRPr="00B60DDF">
        <w:rPr>
          <w:rFonts w:ascii="Garamond" w:hAnsi="Garamond"/>
          <w:sz w:val="24"/>
          <w:szCs w:val="24"/>
        </w:rPr>
        <w:t>. Antalet utländska investerare växer dock långsammare än regeringen önskar och investeringsmålet om 2,5 mdr USD per år har inte uppnåtts.</w:t>
      </w:r>
      <w:r>
        <w:rPr>
          <w:rFonts w:ascii="Garamond" w:hAnsi="Garamond"/>
          <w:sz w:val="24"/>
          <w:szCs w:val="24"/>
        </w:rPr>
        <w:t xml:space="preserve"> År 2019 mottogs 1,7 mdr i utländska investeringar enligt officiella siffror. </w:t>
      </w:r>
      <w:r w:rsidRPr="00B60DDF">
        <w:rPr>
          <w:rFonts w:ascii="Garamond" w:hAnsi="Garamond"/>
          <w:sz w:val="24"/>
          <w:szCs w:val="24"/>
        </w:rPr>
        <w:t xml:space="preserve"> </w:t>
      </w:r>
    </w:p>
    <w:p w14:paraId="76391511" w14:textId="77777777" w:rsidR="00E64AF8" w:rsidRPr="00B60DDF" w:rsidRDefault="00E64AF8" w:rsidP="00E30DAE">
      <w:pPr>
        <w:spacing w:line="276" w:lineRule="auto"/>
        <w:jc w:val="both"/>
        <w:rPr>
          <w:rFonts w:ascii="Garamond" w:hAnsi="Garamond"/>
          <w:sz w:val="24"/>
          <w:szCs w:val="24"/>
        </w:rPr>
      </w:pPr>
    </w:p>
    <w:p w14:paraId="06EA30FA" w14:textId="77777777" w:rsidR="00E64AF8" w:rsidRPr="00AD0AA0" w:rsidRDefault="00E64AF8" w:rsidP="00E30DAE">
      <w:pPr>
        <w:spacing w:line="276" w:lineRule="auto"/>
        <w:jc w:val="both"/>
        <w:rPr>
          <w:rFonts w:ascii="Garamond" w:hAnsi="Garamond"/>
          <w:b/>
          <w:sz w:val="24"/>
          <w:szCs w:val="24"/>
        </w:rPr>
      </w:pPr>
      <w:r w:rsidRPr="00AD0AA0">
        <w:rPr>
          <w:rFonts w:ascii="Garamond" w:hAnsi="Garamond"/>
          <w:b/>
          <w:sz w:val="24"/>
          <w:szCs w:val="24"/>
        </w:rPr>
        <w:t>Aktuell situation</w:t>
      </w:r>
    </w:p>
    <w:p w14:paraId="14C885A9" w14:textId="77777777" w:rsidR="00E64AF8" w:rsidRPr="005818AB" w:rsidRDefault="00E64AF8" w:rsidP="00E30DAE">
      <w:pPr>
        <w:spacing w:line="276" w:lineRule="auto"/>
        <w:jc w:val="both"/>
        <w:rPr>
          <w:rFonts w:ascii="Garamond" w:hAnsi="Garamond"/>
          <w:color w:val="FF0000"/>
          <w:sz w:val="24"/>
          <w:szCs w:val="24"/>
        </w:rPr>
      </w:pPr>
      <w:r w:rsidRPr="00AD0AA0">
        <w:rPr>
          <w:rFonts w:ascii="Garamond" w:hAnsi="Garamond"/>
          <w:sz w:val="24"/>
          <w:szCs w:val="24"/>
        </w:rPr>
        <w:t>Kuba befinner sig sedan 2015 i ett allt besvärligare ekonomiskt läge. Bidragande orsaker är utöver inhemska orsaker bland annat utvecklingen i Venezuela samt det allt hårdare genomförandet av det amerikanska embargot.  Fluktuerande priser på viktiga exportvaror såsom nickel och socker försvårar läget, liksom väderfenomen.</w:t>
      </w:r>
    </w:p>
    <w:p w14:paraId="6BBC5A1E" w14:textId="77777777" w:rsidR="00E64AF8" w:rsidRDefault="00E64AF8" w:rsidP="00E30DAE">
      <w:pPr>
        <w:spacing w:line="276" w:lineRule="auto"/>
        <w:jc w:val="both"/>
        <w:rPr>
          <w:rFonts w:ascii="Garamond" w:hAnsi="Garamond"/>
          <w:sz w:val="24"/>
          <w:szCs w:val="24"/>
          <w:highlight w:val="yellow"/>
        </w:rPr>
      </w:pPr>
    </w:p>
    <w:p w14:paraId="254014FF" w14:textId="77777777" w:rsidR="0004746C" w:rsidRDefault="00E64AF8" w:rsidP="0004746C">
      <w:pPr>
        <w:spacing w:line="276" w:lineRule="auto"/>
        <w:jc w:val="both"/>
        <w:rPr>
          <w:rFonts w:ascii="Garamond" w:hAnsi="Garamond"/>
          <w:sz w:val="24"/>
          <w:szCs w:val="24"/>
        </w:rPr>
      </w:pPr>
      <w:r w:rsidRPr="00AD0AA0">
        <w:rPr>
          <w:rFonts w:ascii="Garamond" w:hAnsi="Garamond"/>
          <w:sz w:val="24"/>
          <w:szCs w:val="24"/>
        </w:rPr>
        <w:t>Den ekonomiska tillväxten ökade med endast 0,5 procent</w:t>
      </w:r>
      <w:r w:rsidR="00126DEB">
        <w:rPr>
          <w:rFonts w:ascii="Garamond" w:hAnsi="Garamond"/>
          <w:sz w:val="24"/>
          <w:szCs w:val="24"/>
        </w:rPr>
        <w:t xml:space="preserve"> 2019</w:t>
      </w:r>
      <w:r w:rsidRPr="00AD0AA0">
        <w:rPr>
          <w:rFonts w:ascii="Garamond" w:hAnsi="Garamond"/>
          <w:sz w:val="24"/>
          <w:szCs w:val="24"/>
        </w:rPr>
        <w:t xml:space="preserve">. Tillväxten har i genomsnitt (enligt officiella siffor) legat på 1,7 procent de senaste sex åren, vilket </w:t>
      </w:r>
      <w:r w:rsidR="00CC3FFA">
        <w:rPr>
          <w:rFonts w:ascii="Garamond" w:hAnsi="Garamond"/>
          <w:sz w:val="24"/>
          <w:szCs w:val="24"/>
        </w:rPr>
        <w:t xml:space="preserve">inte varit </w:t>
      </w:r>
      <w:r w:rsidRPr="00AD0AA0">
        <w:rPr>
          <w:rFonts w:ascii="Garamond" w:hAnsi="Garamond"/>
          <w:sz w:val="24"/>
          <w:szCs w:val="24"/>
        </w:rPr>
        <w:t>tillräckligt för att få till</w:t>
      </w:r>
      <w:r>
        <w:rPr>
          <w:rFonts w:ascii="Garamond" w:hAnsi="Garamond"/>
          <w:sz w:val="24"/>
          <w:szCs w:val="24"/>
        </w:rPr>
        <w:t xml:space="preserve"> </w:t>
      </w:r>
      <w:r w:rsidRPr="00AD0AA0">
        <w:rPr>
          <w:rFonts w:ascii="Garamond" w:hAnsi="Garamond"/>
          <w:sz w:val="24"/>
          <w:szCs w:val="24"/>
        </w:rPr>
        <w:t xml:space="preserve">stånd en hållbar ekonomisk utveckling.   </w:t>
      </w:r>
    </w:p>
    <w:p w14:paraId="593F910A" w14:textId="278144FB" w:rsidR="00E64AF8" w:rsidRPr="0004746C" w:rsidRDefault="00E64AF8" w:rsidP="0004746C">
      <w:pPr>
        <w:spacing w:line="276" w:lineRule="auto"/>
        <w:jc w:val="both"/>
        <w:rPr>
          <w:rFonts w:ascii="Garamond" w:hAnsi="Garamond"/>
          <w:sz w:val="24"/>
          <w:szCs w:val="24"/>
        </w:rPr>
      </w:pPr>
      <w:r w:rsidRPr="008419BE">
        <w:rPr>
          <w:rFonts w:ascii="Garamond" w:hAnsi="Garamond" w:cs="Arial"/>
          <w:sz w:val="24"/>
          <w:szCs w:val="24"/>
        </w:rPr>
        <w:t xml:space="preserve">Långsam tillväxt är inte </w:t>
      </w:r>
      <w:r>
        <w:rPr>
          <w:rFonts w:ascii="Garamond" w:hAnsi="Garamond" w:cs="Arial"/>
          <w:sz w:val="24"/>
          <w:szCs w:val="24"/>
        </w:rPr>
        <w:t xml:space="preserve">något </w:t>
      </w:r>
      <w:r w:rsidRPr="008419BE">
        <w:rPr>
          <w:rFonts w:ascii="Garamond" w:hAnsi="Garamond" w:cs="Arial"/>
          <w:sz w:val="24"/>
          <w:szCs w:val="24"/>
        </w:rPr>
        <w:t xml:space="preserve">nytt i det kubanska </w:t>
      </w:r>
      <w:r>
        <w:rPr>
          <w:rFonts w:ascii="Garamond" w:hAnsi="Garamond" w:cs="Arial"/>
          <w:sz w:val="24"/>
          <w:szCs w:val="24"/>
        </w:rPr>
        <w:t>scenariot</w:t>
      </w:r>
      <w:r w:rsidRPr="008419BE">
        <w:rPr>
          <w:rFonts w:ascii="Garamond" w:hAnsi="Garamond" w:cs="Arial"/>
          <w:sz w:val="24"/>
          <w:szCs w:val="24"/>
        </w:rPr>
        <w:t xml:space="preserve">. De korta perioderna med </w:t>
      </w:r>
      <w:r>
        <w:rPr>
          <w:rFonts w:ascii="Garamond" w:hAnsi="Garamond" w:cs="Arial"/>
          <w:sz w:val="24"/>
          <w:szCs w:val="24"/>
        </w:rPr>
        <w:t>uppsving i tillväxten</w:t>
      </w:r>
      <w:r w:rsidRPr="008419BE">
        <w:rPr>
          <w:rFonts w:ascii="Garamond" w:hAnsi="Garamond" w:cs="Arial"/>
          <w:sz w:val="24"/>
          <w:szCs w:val="24"/>
        </w:rPr>
        <w:t xml:space="preserve"> har som regel varit </w:t>
      </w:r>
      <w:r>
        <w:rPr>
          <w:rFonts w:ascii="Garamond" w:hAnsi="Garamond" w:cs="Arial"/>
          <w:sz w:val="24"/>
          <w:szCs w:val="24"/>
        </w:rPr>
        <w:t xml:space="preserve">tack vare </w:t>
      </w:r>
      <w:r w:rsidRPr="008419BE">
        <w:rPr>
          <w:rFonts w:ascii="Garamond" w:hAnsi="Garamond" w:cs="Arial"/>
          <w:sz w:val="24"/>
          <w:szCs w:val="24"/>
        </w:rPr>
        <w:t>externt stöd</w:t>
      </w:r>
      <w:r>
        <w:rPr>
          <w:rFonts w:ascii="Garamond" w:hAnsi="Garamond" w:cs="Arial"/>
          <w:sz w:val="24"/>
          <w:szCs w:val="24"/>
        </w:rPr>
        <w:t xml:space="preserve">, </w:t>
      </w:r>
      <w:r w:rsidR="00CC3FFA">
        <w:rPr>
          <w:rFonts w:ascii="Garamond" w:hAnsi="Garamond" w:cs="Arial"/>
          <w:sz w:val="24"/>
          <w:szCs w:val="24"/>
        </w:rPr>
        <w:lastRenderedPageBreak/>
        <w:t>som ofta getts utifrån politiska överväganden, snarare än utifrån en</w:t>
      </w:r>
      <w:r>
        <w:rPr>
          <w:rFonts w:ascii="Garamond" w:hAnsi="Garamond" w:cs="Arial"/>
          <w:sz w:val="24"/>
          <w:szCs w:val="24"/>
        </w:rPr>
        <w:t xml:space="preserve"> ekonomisk strategi.</w:t>
      </w:r>
      <w:r w:rsidRPr="008419BE">
        <w:rPr>
          <w:rFonts w:ascii="Garamond" w:hAnsi="Garamond" w:cs="Arial"/>
          <w:sz w:val="24"/>
          <w:szCs w:val="24"/>
        </w:rPr>
        <w:t xml:space="preserve"> Ett av de latenta problemen</w:t>
      </w:r>
      <w:r>
        <w:rPr>
          <w:rFonts w:ascii="Garamond" w:hAnsi="Garamond" w:cs="Arial"/>
          <w:sz w:val="24"/>
          <w:szCs w:val="24"/>
        </w:rPr>
        <w:t xml:space="preserve"> i Kuba</w:t>
      </w:r>
      <w:r w:rsidRPr="008419BE">
        <w:rPr>
          <w:rFonts w:ascii="Garamond" w:hAnsi="Garamond" w:cs="Arial"/>
          <w:sz w:val="24"/>
          <w:szCs w:val="24"/>
        </w:rPr>
        <w:t xml:space="preserve"> är den kroniska bristen på utländsk valuta, vilket resulterar i </w:t>
      </w:r>
      <w:r>
        <w:rPr>
          <w:rFonts w:ascii="Garamond" w:hAnsi="Garamond" w:cs="Arial"/>
          <w:sz w:val="24"/>
          <w:szCs w:val="24"/>
        </w:rPr>
        <w:t>default-cykler</w:t>
      </w:r>
      <w:r w:rsidRPr="008419BE">
        <w:rPr>
          <w:rFonts w:ascii="Garamond" w:hAnsi="Garamond" w:cs="Arial"/>
          <w:sz w:val="24"/>
          <w:szCs w:val="24"/>
        </w:rPr>
        <w:t xml:space="preserve"> av internationella åtaganden. Detta innebär att </w:t>
      </w:r>
      <w:r>
        <w:rPr>
          <w:rFonts w:ascii="Garamond" w:hAnsi="Garamond" w:cs="Arial"/>
          <w:sz w:val="24"/>
          <w:szCs w:val="24"/>
        </w:rPr>
        <w:t>landet</w:t>
      </w:r>
      <w:r w:rsidRPr="008419BE">
        <w:rPr>
          <w:rFonts w:ascii="Garamond" w:hAnsi="Garamond" w:cs="Arial"/>
          <w:sz w:val="24"/>
          <w:szCs w:val="24"/>
        </w:rPr>
        <w:t xml:space="preserve"> systematiskt överför konsekvenserna av dess begränsade ekonomiska framgång till sina utländska partner</w:t>
      </w:r>
      <w:r>
        <w:rPr>
          <w:rFonts w:ascii="Garamond" w:hAnsi="Garamond" w:cs="Arial"/>
          <w:sz w:val="24"/>
          <w:szCs w:val="24"/>
        </w:rPr>
        <w:t>s</w:t>
      </w:r>
      <w:r w:rsidRPr="008419BE">
        <w:rPr>
          <w:rFonts w:ascii="Garamond" w:hAnsi="Garamond" w:cs="Arial"/>
          <w:sz w:val="24"/>
          <w:szCs w:val="24"/>
        </w:rPr>
        <w:t>.</w:t>
      </w:r>
    </w:p>
    <w:p w14:paraId="76AC01D3" w14:textId="77777777" w:rsidR="00E64AF8" w:rsidRDefault="00E64AF8" w:rsidP="00E30DAE">
      <w:pPr>
        <w:spacing w:after="200" w:line="276" w:lineRule="auto"/>
        <w:contextualSpacing/>
        <w:jc w:val="both"/>
        <w:rPr>
          <w:rFonts w:ascii="Garamond" w:hAnsi="Garamond" w:cs="Arial"/>
          <w:sz w:val="24"/>
          <w:szCs w:val="24"/>
        </w:rPr>
      </w:pPr>
    </w:p>
    <w:p w14:paraId="3FCEE9A6" w14:textId="34421B42" w:rsidR="00E64AF8" w:rsidRDefault="00E64AF8" w:rsidP="00E30DAE">
      <w:pPr>
        <w:spacing w:after="200" w:line="276" w:lineRule="auto"/>
        <w:contextualSpacing/>
        <w:jc w:val="both"/>
        <w:rPr>
          <w:rFonts w:ascii="Garamond" w:hAnsi="Garamond" w:cs="Arial"/>
          <w:sz w:val="24"/>
          <w:szCs w:val="24"/>
        </w:rPr>
      </w:pPr>
      <w:r w:rsidRPr="00B60DDF">
        <w:rPr>
          <w:rFonts w:ascii="Garamond" w:hAnsi="Garamond" w:cs="Arial"/>
          <w:sz w:val="24"/>
          <w:szCs w:val="24"/>
        </w:rPr>
        <w:t xml:space="preserve">Under 2018 sammanföll flera negativa tendenser; </w:t>
      </w:r>
      <w:r w:rsidR="00E2635F" w:rsidRPr="00B60DDF">
        <w:rPr>
          <w:rFonts w:ascii="Garamond" w:hAnsi="Garamond" w:cs="Arial"/>
          <w:sz w:val="24"/>
          <w:szCs w:val="24"/>
        </w:rPr>
        <w:t>bl.</w:t>
      </w:r>
      <w:r w:rsidRPr="00B60DDF">
        <w:rPr>
          <w:rFonts w:ascii="Garamond" w:hAnsi="Garamond" w:cs="Arial"/>
          <w:sz w:val="24"/>
          <w:szCs w:val="24"/>
        </w:rPr>
        <w:t xml:space="preserve"> a väderfenomen som orsakade skada på jordbruket, sjunkande världspriser på socker och nickel och nya restriktioner för amerikanska turister. Samtidigt fortsatte oljeleveranserna, försäljning av hälsotjänster och varuhandeln med Venezuela att minska. År 2012 utgjorde handeln med Venezuela 44 procent av totalen, denna siffra hade 2016 sjunkit till knappt 17 procent. Det i december 2018 avslutade läkarprogrammet med Brasilien </w:t>
      </w:r>
      <w:r w:rsidRPr="00B60DDF">
        <w:rPr>
          <w:rFonts w:ascii="Garamond" w:hAnsi="Garamond" w:cs="Arial"/>
          <w:sz w:val="24"/>
          <w:szCs w:val="24"/>
        </w:rPr>
        <w:softHyphen/>
        <w:t xml:space="preserve">– </w:t>
      </w:r>
      <w:r w:rsidRPr="001972C2">
        <w:rPr>
          <w:rFonts w:ascii="Garamond" w:hAnsi="Garamond" w:cs="Arial"/>
          <w:i/>
          <w:iCs/>
          <w:sz w:val="24"/>
          <w:szCs w:val="24"/>
        </w:rPr>
        <w:t xml:space="preserve">Mais </w:t>
      </w:r>
      <w:proofErr w:type="spellStart"/>
      <w:r w:rsidRPr="001972C2">
        <w:rPr>
          <w:rFonts w:ascii="Garamond" w:hAnsi="Garamond" w:cs="Arial"/>
          <w:i/>
          <w:iCs/>
          <w:sz w:val="24"/>
          <w:szCs w:val="24"/>
        </w:rPr>
        <w:t>Médicos</w:t>
      </w:r>
      <w:proofErr w:type="spellEnd"/>
      <w:r w:rsidRPr="00B60DDF">
        <w:rPr>
          <w:rFonts w:ascii="Garamond" w:hAnsi="Garamond" w:cs="Arial"/>
          <w:sz w:val="24"/>
          <w:szCs w:val="24"/>
        </w:rPr>
        <w:t xml:space="preserve"> – beräknas kosta Kuba 400 miljoner USD per år – lika mycket som summan av socker-och nickelexporten. Under 2019 avslutade också Ecuadors</w:t>
      </w:r>
      <w:r>
        <w:rPr>
          <w:rFonts w:ascii="Garamond" w:hAnsi="Garamond" w:cs="Arial"/>
          <w:sz w:val="24"/>
          <w:szCs w:val="24"/>
        </w:rPr>
        <w:t xml:space="preserve">, </w:t>
      </w:r>
      <w:r w:rsidRPr="00B60DDF">
        <w:rPr>
          <w:rFonts w:ascii="Garamond" w:hAnsi="Garamond" w:cs="Arial"/>
          <w:sz w:val="24"/>
          <w:szCs w:val="24"/>
        </w:rPr>
        <w:t>Bolivias</w:t>
      </w:r>
      <w:r>
        <w:rPr>
          <w:rFonts w:ascii="Garamond" w:hAnsi="Garamond" w:cs="Arial"/>
          <w:sz w:val="24"/>
          <w:szCs w:val="24"/>
        </w:rPr>
        <w:t xml:space="preserve"> och El Salvadors </w:t>
      </w:r>
      <w:r w:rsidRPr="00B60DDF">
        <w:rPr>
          <w:rFonts w:ascii="Garamond" w:hAnsi="Garamond" w:cs="Arial"/>
          <w:sz w:val="24"/>
          <w:szCs w:val="24"/>
        </w:rPr>
        <w:t>regering</w:t>
      </w:r>
      <w:r>
        <w:rPr>
          <w:rFonts w:ascii="Garamond" w:hAnsi="Garamond" w:cs="Arial"/>
          <w:sz w:val="24"/>
          <w:szCs w:val="24"/>
        </w:rPr>
        <w:t xml:space="preserve">ar </w:t>
      </w:r>
      <w:r w:rsidRPr="00B60DDF">
        <w:rPr>
          <w:rFonts w:ascii="Garamond" w:hAnsi="Garamond" w:cs="Arial"/>
          <w:sz w:val="24"/>
          <w:szCs w:val="24"/>
        </w:rPr>
        <w:t xml:space="preserve">sina respektive läkarprogram med Kuba. </w:t>
      </w:r>
      <w:r w:rsidR="00CE63A2">
        <w:rPr>
          <w:rFonts w:ascii="Garamond" w:hAnsi="Garamond" w:cs="Arial"/>
          <w:sz w:val="24"/>
          <w:szCs w:val="24"/>
        </w:rPr>
        <w:t>Samtidigt kvarstår den kubanska sjukvårdsexporten som en av landets viktigaste in</w:t>
      </w:r>
      <w:r w:rsidR="00126DEB">
        <w:rPr>
          <w:rFonts w:ascii="Garamond" w:hAnsi="Garamond" w:cs="Arial"/>
          <w:sz w:val="24"/>
          <w:szCs w:val="24"/>
        </w:rPr>
        <w:t>komst</w:t>
      </w:r>
      <w:r w:rsidR="00CE63A2">
        <w:rPr>
          <w:rFonts w:ascii="Garamond" w:hAnsi="Garamond" w:cs="Arial"/>
          <w:sz w:val="24"/>
          <w:szCs w:val="24"/>
        </w:rPr>
        <w:t>källor (se vidare längre ned under avsnittet ”Näringar”).</w:t>
      </w:r>
    </w:p>
    <w:p w14:paraId="7FE651A7" w14:textId="77777777" w:rsidR="00E64AF8" w:rsidRDefault="00E64AF8" w:rsidP="00E30DAE">
      <w:pPr>
        <w:spacing w:after="200" w:line="276" w:lineRule="auto"/>
        <w:contextualSpacing/>
        <w:jc w:val="both"/>
        <w:rPr>
          <w:rFonts w:ascii="Garamond" w:hAnsi="Garamond" w:cs="Arial"/>
          <w:sz w:val="24"/>
          <w:szCs w:val="24"/>
        </w:rPr>
      </w:pPr>
    </w:p>
    <w:p w14:paraId="41D77764" w14:textId="24080847" w:rsidR="00E64AF8" w:rsidRDefault="00E64AF8" w:rsidP="00E30DAE">
      <w:pPr>
        <w:spacing w:line="276" w:lineRule="auto"/>
        <w:jc w:val="both"/>
        <w:rPr>
          <w:rFonts w:ascii="Garamond" w:hAnsi="Garamond"/>
          <w:sz w:val="24"/>
          <w:szCs w:val="24"/>
        </w:rPr>
      </w:pPr>
      <w:r w:rsidRPr="00E80E07">
        <w:rPr>
          <w:rFonts w:ascii="Garamond" w:hAnsi="Garamond" w:cs="Arial"/>
          <w:sz w:val="24"/>
          <w:szCs w:val="24"/>
        </w:rPr>
        <w:t xml:space="preserve">År 2019 har kännetecknats av den värsta bristen på basvaror sedan den ”speciella perioden”. Kuba importerar cirka 80 procent av livsmedlen och på grund av landets svårigheter att uppfylla finansiella åtaganden gentemot leverantörer har stora nedskärningar i importen gjorts. I september </w:t>
      </w:r>
      <w:r w:rsidRPr="00E80E07">
        <w:rPr>
          <w:rFonts w:ascii="Garamond" w:hAnsi="Garamond"/>
          <w:sz w:val="24"/>
          <w:szCs w:val="24"/>
        </w:rPr>
        <w:t xml:space="preserve">2019 inträffade en akut bränslekris på ön då USA förhindrade bränsletransporter från Venezuela att angöra Kuba. </w:t>
      </w:r>
      <w:r w:rsidR="00E57907">
        <w:rPr>
          <w:rFonts w:ascii="Garamond" w:hAnsi="Garamond"/>
          <w:sz w:val="24"/>
          <w:szCs w:val="24"/>
        </w:rPr>
        <w:t>Regeringen presenterade då en rad å</w:t>
      </w:r>
      <w:r w:rsidRPr="00E80E07">
        <w:rPr>
          <w:rFonts w:ascii="Garamond" w:hAnsi="Garamond"/>
          <w:sz w:val="24"/>
          <w:szCs w:val="24"/>
        </w:rPr>
        <w:t xml:space="preserve">tgärder för att tackla krisen </w:t>
      </w:r>
      <w:r w:rsidR="00E30DAE">
        <w:rPr>
          <w:rFonts w:ascii="Garamond" w:hAnsi="Garamond"/>
          <w:sz w:val="24"/>
          <w:szCs w:val="24"/>
        </w:rPr>
        <w:t xml:space="preserve">vilka bland annat inkluderade att all offentlig verksamhet beordrades gå på halvfart för att spara el och bränsle och därigenom undvika att privatpersoner skulle drabbas av elavbrott. Privatpersoner uppmanades att spara på resurserna </w:t>
      </w:r>
      <w:r w:rsidR="00126DEB">
        <w:rPr>
          <w:rFonts w:ascii="Garamond" w:hAnsi="Garamond"/>
          <w:sz w:val="24"/>
          <w:szCs w:val="24"/>
        </w:rPr>
        <w:t>till exempel</w:t>
      </w:r>
      <w:r w:rsidR="00E30DAE">
        <w:rPr>
          <w:rFonts w:ascii="Garamond" w:hAnsi="Garamond"/>
          <w:sz w:val="24"/>
          <w:szCs w:val="24"/>
        </w:rPr>
        <w:t xml:space="preserve"> genom att laga mat med ved.  </w:t>
      </w:r>
    </w:p>
    <w:p w14:paraId="020C1DC2" w14:textId="77777777" w:rsidR="00E64AF8" w:rsidRDefault="00E64AF8" w:rsidP="00E30DAE">
      <w:pPr>
        <w:spacing w:line="276" w:lineRule="auto"/>
        <w:jc w:val="both"/>
        <w:rPr>
          <w:rFonts w:ascii="Garamond" w:hAnsi="Garamond"/>
          <w:sz w:val="24"/>
          <w:szCs w:val="24"/>
        </w:rPr>
      </w:pPr>
    </w:p>
    <w:p w14:paraId="25DE5A91" w14:textId="77777777" w:rsidR="00E64AF8" w:rsidRPr="008419BE" w:rsidRDefault="00E64AF8" w:rsidP="00E30DAE">
      <w:pPr>
        <w:spacing w:line="276" w:lineRule="auto"/>
        <w:jc w:val="both"/>
        <w:rPr>
          <w:rFonts w:ascii="Garamond" w:hAnsi="Garamond"/>
          <w:sz w:val="24"/>
          <w:szCs w:val="24"/>
          <w:highlight w:val="yellow"/>
        </w:rPr>
      </w:pPr>
      <w:r w:rsidRPr="00B60DDF">
        <w:rPr>
          <w:rFonts w:ascii="Garamond" w:hAnsi="Garamond"/>
          <w:sz w:val="24"/>
          <w:szCs w:val="24"/>
        </w:rPr>
        <w:t xml:space="preserve">BNP per capita (PPP) uppskattades till </w:t>
      </w:r>
      <w:r>
        <w:rPr>
          <w:rFonts w:ascii="Garamond" w:hAnsi="Garamond"/>
          <w:sz w:val="24"/>
          <w:szCs w:val="24"/>
        </w:rPr>
        <w:t>14 166</w:t>
      </w:r>
      <w:r w:rsidRPr="00B60DDF">
        <w:rPr>
          <w:rFonts w:ascii="Garamond" w:hAnsi="Garamond"/>
          <w:sz w:val="24"/>
          <w:szCs w:val="24"/>
        </w:rPr>
        <w:t xml:space="preserve"> USD av EIU för 201</w:t>
      </w:r>
      <w:r>
        <w:rPr>
          <w:rFonts w:ascii="Garamond" w:hAnsi="Garamond"/>
          <w:sz w:val="24"/>
          <w:szCs w:val="24"/>
        </w:rPr>
        <w:t>9</w:t>
      </w:r>
      <w:r w:rsidRPr="00B60DDF">
        <w:rPr>
          <w:rFonts w:ascii="Garamond" w:hAnsi="Garamond"/>
          <w:sz w:val="24"/>
          <w:szCs w:val="24"/>
        </w:rPr>
        <w:t>. På grund av Kubas beräkningsmetod för BNP, i vilken fri undervisning och hälsovård samt exporten av kubanska läkare och annan service räknas in, är det dock svårt att jämföra Kubas BNP med andra länders.</w:t>
      </w:r>
    </w:p>
    <w:p w14:paraId="5E454445" w14:textId="77777777" w:rsidR="00E64AF8" w:rsidRPr="00B60DDF" w:rsidRDefault="00E64AF8" w:rsidP="00E30DAE">
      <w:pPr>
        <w:spacing w:line="276" w:lineRule="auto"/>
        <w:jc w:val="both"/>
        <w:rPr>
          <w:rFonts w:ascii="Garamond" w:hAnsi="Garamond"/>
          <w:sz w:val="24"/>
          <w:szCs w:val="24"/>
        </w:rPr>
      </w:pPr>
    </w:p>
    <w:p w14:paraId="2258E283" w14:textId="0A0943F7" w:rsidR="00E64AF8" w:rsidRPr="001B38B5" w:rsidRDefault="00E64AF8" w:rsidP="00E30DAE">
      <w:pPr>
        <w:spacing w:line="276" w:lineRule="auto"/>
        <w:jc w:val="both"/>
        <w:rPr>
          <w:rFonts w:ascii="Garamond" w:hAnsi="Garamond"/>
          <w:sz w:val="24"/>
          <w:szCs w:val="24"/>
        </w:rPr>
      </w:pPr>
      <w:r w:rsidRPr="00B60DDF">
        <w:rPr>
          <w:rFonts w:ascii="Garamond" w:hAnsi="Garamond"/>
          <w:sz w:val="24"/>
          <w:szCs w:val="24"/>
        </w:rPr>
        <w:t>Under 2019 höjde</w:t>
      </w:r>
      <w:r>
        <w:rPr>
          <w:rFonts w:ascii="Garamond" w:hAnsi="Garamond"/>
          <w:sz w:val="24"/>
          <w:szCs w:val="24"/>
        </w:rPr>
        <w:t xml:space="preserve">s </w:t>
      </w:r>
      <w:r w:rsidRPr="00B60DDF">
        <w:rPr>
          <w:rFonts w:ascii="Garamond" w:hAnsi="Garamond"/>
          <w:sz w:val="24"/>
          <w:szCs w:val="24"/>
        </w:rPr>
        <w:t xml:space="preserve">minimilönen till 400 kubanska pesos, ca 16 USD per månad, och medellönen steg till 1067 kubanska pesos, ca 42 USD per månad, vilket innebär </w:t>
      </w:r>
      <w:r w:rsidR="00ED072A">
        <w:rPr>
          <w:rFonts w:ascii="Garamond" w:hAnsi="Garamond"/>
          <w:sz w:val="24"/>
          <w:szCs w:val="24"/>
        </w:rPr>
        <w:t xml:space="preserve">en </w:t>
      </w:r>
      <w:r w:rsidRPr="00B60DDF">
        <w:rPr>
          <w:rFonts w:ascii="Garamond" w:hAnsi="Garamond"/>
          <w:sz w:val="24"/>
          <w:szCs w:val="24"/>
        </w:rPr>
        <w:t xml:space="preserve">ökning av medellönen med </w:t>
      </w:r>
      <w:r>
        <w:rPr>
          <w:rFonts w:ascii="Garamond" w:hAnsi="Garamond"/>
          <w:sz w:val="24"/>
          <w:szCs w:val="24"/>
        </w:rPr>
        <w:t>27 procent</w:t>
      </w:r>
      <w:r w:rsidRPr="00B60DDF">
        <w:rPr>
          <w:rFonts w:ascii="Garamond" w:hAnsi="Garamond"/>
          <w:sz w:val="24"/>
          <w:szCs w:val="24"/>
        </w:rPr>
        <w:t xml:space="preserve"> jämfört med föregående år. Den informella ekonomin är stor och för att överleva har många kubaner bisysslor och alternativa inkomstkällor. Många kubaner får även ekonomiskt stöd från släktingar i utlandet. Det finns inga officiella siffor på remitteringarnas </w:t>
      </w:r>
      <w:r w:rsidRPr="00B60DDF">
        <w:rPr>
          <w:rFonts w:ascii="Garamond" w:hAnsi="Garamond"/>
          <w:sz w:val="24"/>
          <w:szCs w:val="24"/>
        </w:rPr>
        <w:lastRenderedPageBreak/>
        <w:t xml:space="preserve">totala värde, men olika källor anger mellan 3–8 procent av Kubas BNP och att </w:t>
      </w:r>
      <w:r>
        <w:rPr>
          <w:rFonts w:ascii="Garamond" w:hAnsi="Garamond"/>
          <w:sz w:val="24"/>
          <w:szCs w:val="24"/>
        </w:rPr>
        <w:t xml:space="preserve">drygt </w:t>
      </w:r>
      <w:r w:rsidRPr="00B60DDF">
        <w:rPr>
          <w:rFonts w:ascii="Garamond" w:hAnsi="Garamond"/>
          <w:sz w:val="24"/>
          <w:szCs w:val="24"/>
        </w:rPr>
        <w:t>60 procent av kubanerna i dagsläget mottar remitteringar. En växande ojämlikhet förväntas de kommande åren med anledning av ökat privat företagande med möjligheter till avsevärt högre löner än vad staten erbjuder</w:t>
      </w:r>
      <w:r>
        <w:rPr>
          <w:rFonts w:ascii="Garamond" w:hAnsi="Garamond"/>
          <w:sz w:val="24"/>
          <w:szCs w:val="24"/>
        </w:rPr>
        <w:t>.</w:t>
      </w:r>
    </w:p>
    <w:p w14:paraId="46F66E17" w14:textId="77777777" w:rsidR="00E64AF8" w:rsidRDefault="00E64AF8" w:rsidP="00E30DAE">
      <w:pPr>
        <w:spacing w:line="276" w:lineRule="auto"/>
        <w:jc w:val="both"/>
        <w:rPr>
          <w:rFonts w:ascii="Garamond" w:hAnsi="Garamond"/>
          <w:sz w:val="24"/>
          <w:szCs w:val="24"/>
        </w:rPr>
      </w:pPr>
    </w:p>
    <w:p w14:paraId="76EA5287" w14:textId="77777777" w:rsidR="00E64AF8" w:rsidRPr="005359F4" w:rsidRDefault="00E64AF8" w:rsidP="00E30DAE">
      <w:pPr>
        <w:spacing w:line="276" w:lineRule="auto"/>
        <w:jc w:val="both"/>
        <w:rPr>
          <w:rFonts w:ascii="Garamond" w:hAnsi="Garamond"/>
          <w:sz w:val="24"/>
          <w:szCs w:val="24"/>
        </w:rPr>
      </w:pPr>
      <w:bookmarkStart w:id="31" w:name="_Hlk34040807"/>
      <w:r w:rsidRPr="005359F4">
        <w:rPr>
          <w:rFonts w:ascii="Garamond" w:hAnsi="Garamond"/>
          <w:b/>
          <w:sz w:val="24"/>
          <w:szCs w:val="24"/>
        </w:rPr>
        <w:t>Penningpolitik</w:t>
      </w:r>
    </w:p>
    <w:p w14:paraId="6BE59C4B" w14:textId="4E6A24A3" w:rsidR="00E64AF8" w:rsidRPr="00550A5C" w:rsidRDefault="00E64AF8" w:rsidP="00E30DAE">
      <w:pPr>
        <w:spacing w:line="276" w:lineRule="auto"/>
        <w:jc w:val="both"/>
        <w:rPr>
          <w:rFonts w:ascii="Garamond" w:hAnsi="Garamond"/>
          <w:sz w:val="24"/>
          <w:szCs w:val="24"/>
        </w:rPr>
      </w:pPr>
      <w:r w:rsidRPr="00550A5C">
        <w:rPr>
          <w:rFonts w:ascii="Garamond" w:hAnsi="Garamond"/>
          <w:sz w:val="24"/>
          <w:szCs w:val="24"/>
        </w:rPr>
        <w:t>I oktober 2013 aviserades planen på att införa en enda valuta istället för systemet med två parallella valutor, den konvertibla peson (CUC) och den kubanska peson (CUP). En sammanslagning har blivit alltmer nödvändig, framför allt då skillnader i olika växelkurser förvrider incitament och resursallokering. Många statliga företag tillämpar förmånliga växelkurser, vissa t.o.m. 1:1, samtidigt som 24:1 gäller för konsumentvaror och utländska aktörer. Någon tidpunkt för sammanslagningen har inte angetts, men på senare tid har penningpolitiska åtgärder vidtagits som pekar på att man nu förbereder för att ta den konvertibla peson ur cirkulation. Till exempel</w:t>
      </w:r>
      <w:r w:rsidR="009F094C">
        <w:rPr>
          <w:rFonts w:ascii="Garamond" w:hAnsi="Garamond"/>
          <w:sz w:val="24"/>
          <w:szCs w:val="24"/>
        </w:rPr>
        <w:t xml:space="preserve"> har valutan slutat tryckas</w:t>
      </w:r>
      <w:r w:rsidRPr="00550A5C">
        <w:rPr>
          <w:rFonts w:ascii="Garamond" w:hAnsi="Garamond"/>
          <w:sz w:val="24"/>
          <w:szCs w:val="24"/>
        </w:rPr>
        <w:t xml:space="preserve">, den kan inte längre användas på flygplatsen och det har blivit förbjudet att föra in och ut den i landet. Flera statliga affärer och restauranger accepterar numera endast den nationella peson CUP alternativt ger växel endast i den valutan. </w:t>
      </w:r>
    </w:p>
    <w:bookmarkEnd w:id="31"/>
    <w:p w14:paraId="62A9E2C7" w14:textId="77777777" w:rsidR="00E64AF8" w:rsidRPr="00550A5C" w:rsidRDefault="00E64AF8" w:rsidP="00E30DAE">
      <w:pPr>
        <w:spacing w:line="276" w:lineRule="auto"/>
        <w:jc w:val="both"/>
        <w:rPr>
          <w:rFonts w:ascii="Garamond" w:hAnsi="Garamond"/>
          <w:sz w:val="24"/>
          <w:szCs w:val="24"/>
        </w:rPr>
      </w:pPr>
    </w:p>
    <w:p w14:paraId="2A6DDE1C" w14:textId="77777777" w:rsidR="00E64AF8" w:rsidRPr="00550A5C" w:rsidRDefault="00E64AF8" w:rsidP="00E30DAE">
      <w:pPr>
        <w:spacing w:line="276" w:lineRule="auto"/>
        <w:jc w:val="both"/>
        <w:rPr>
          <w:rFonts w:ascii="Garamond" w:hAnsi="Garamond"/>
          <w:sz w:val="24"/>
          <w:szCs w:val="24"/>
        </w:rPr>
      </w:pPr>
      <w:r w:rsidRPr="00550A5C">
        <w:rPr>
          <w:rFonts w:ascii="Garamond" w:hAnsi="Garamond"/>
          <w:sz w:val="24"/>
          <w:szCs w:val="24"/>
        </w:rPr>
        <w:t>I oktober 2019 kungjorde den kubanska regeringen att amerikanska dollar (och 10 andra valutor) skulle tillåtas som betalningsmedel i särskilda butiker för vissa konsumtionsvaror (framförallt hemelektronik och bildelar). Man har siktat in sig på att söka fånga upp den hårdvaluta som annars lämnar landet genom den informella importen som privatpersoner, smugglare och egenföretagare gör på inköpsresor till Panama och andra länder. I februari 2020 infördes även rätten för kubaner att importera bilar för betalning i någon av de godkända valutorna</w:t>
      </w:r>
      <w:bookmarkStart w:id="32" w:name="_Hlk34041107"/>
      <w:r w:rsidRPr="00550A5C">
        <w:rPr>
          <w:rFonts w:ascii="Garamond" w:hAnsi="Garamond"/>
          <w:sz w:val="24"/>
          <w:szCs w:val="24"/>
        </w:rPr>
        <w:t xml:space="preserve">. På bilpriserna läggs dock en skatt på 800 procent, vilket i praktiken innebär att ytterst få kubaner har möjlighet att köpa bil. </w:t>
      </w:r>
    </w:p>
    <w:bookmarkEnd w:id="32"/>
    <w:p w14:paraId="53EEAEA3" w14:textId="77777777" w:rsidR="00E64AF8" w:rsidRPr="00550A5C" w:rsidRDefault="00E64AF8" w:rsidP="00E30DAE">
      <w:pPr>
        <w:spacing w:line="276" w:lineRule="auto"/>
        <w:jc w:val="both"/>
      </w:pPr>
    </w:p>
    <w:p w14:paraId="0A86EC13" w14:textId="25AA5E6B" w:rsidR="00E64AF8" w:rsidRDefault="00E64AF8" w:rsidP="00E30DAE">
      <w:pPr>
        <w:spacing w:line="276" w:lineRule="auto"/>
        <w:jc w:val="both"/>
        <w:rPr>
          <w:rFonts w:ascii="Garamond" w:hAnsi="Garamond"/>
          <w:bCs/>
          <w:sz w:val="24"/>
          <w:szCs w:val="24"/>
        </w:rPr>
      </w:pPr>
      <w:r w:rsidRPr="00550A5C">
        <w:rPr>
          <w:rFonts w:ascii="Garamond" w:hAnsi="Garamond"/>
          <w:sz w:val="24"/>
          <w:szCs w:val="24"/>
        </w:rPr>
        <w:t>Åtgärderna förväntas att få en positiv effekt på kort sikt</w:t>
      </w:r>
      <w:r>
        <w:rPr>
          <w:rFonts w:ascii="Garamond" w:hAnsi="Garamond"/>
          <w:sz w:val="24"/>
          <w:szCs w:val="24"/>
        </w:rPr>
        <w:t>, men s</w:t>
      </w:r>
      <w:r w:rsidRPr="00550A5C">
        <w:rPr>
          <w:rFonts w:ascii="Garamond" w:hAnsi="Garamond"/>
          <w:bCs/>
          <w:sz w:val="24"/>
          <w:szCs w:val="24"/>
        </w:rPr>
        <w:t>å länge den strukturella problematiken i ekonomin kvarstår finns det dock en risk att huvudsakliga problemen skjuts framåt.   </w:t>
      </w:r>
    </w:p>
    <w:p w14:paraId="1DBFBD0E" w14:textId="77777777" w:rsidR="00126DEB" w:rsidRDefault="00126DEB" w:rsidP="00E30DAE">
      <w:pPr>
        <w:spacing w:line="276" w:lineRule="auto"/>
        <w:jc w:val="both"/>
        <w:rPr>
          <w:rFonts w:ascii="Garamond" w:hAnsi="Garamond"/>
          <w:b/>
          <w:sz w:val="24"/>
          <w:szCs w:val="24"/>
        </w:rPr>
      </w:pPr>
    </w:p>
    <w:p w14:paraId="1BB2B2C8" w14:textId="63325A51" w:rsidR="00E64AF8" w:rsidRPr="00550A5C" w:rsidRDefault="00E64AF8" w:rsidP="00E30DAE">
      <w:pPr>
        <w:spacing w:line="276" w:lineRule="auto"/>
        <w:jc w:val="both"/>
        <w:rPr>
          <w:rFonts w:ascii="Garamond" w:hAnsi="Garamond"/>
          <w:sz w:val="24"/>
          <w:szCs w:val="24"/>
        </w:rPr>
      </w:pPr>
      <w:r w:rsidRPr="00B60DDF">
        <w:rPr>
          <w:rFonts w:ascii="Garamond" w:hAnsi="Garamond"/>
          <w:b/>
          <w:sz w:val="24"/>
          <w:szCs w:val="24"/>
        </w:rPr>
        <w:t>Näringar</w:t>
      </w:r>
    </w:p>
    <w:p w14:paraId="318159A8" w14:textId="77777777" w:rsidR="00E64AF8" w:rsidRPr="00B60DDF" w:rsidRDefault="00E64AF8" w:rsidP="00E30DAE">
      <w:pPr>
        <w:spacing w:line="276" w:lineRule="auto"/>
        <w:jc w:val="both"/>
        <w:rPr>
          <w:rFonts w:ascii="Garamond" w:hAnsi="Garamond"/>
          <w:b/>
          <w:sz w:val="24"/>
          <w:szCs w:val="24"/>
        </w:rPr>
      </w:pPr>
    </w:p>
    <w:p w14:paraId="4A5941F2" w14:textId="77777777" w:rsidR="00E64AF8" w:rsidRPr="00D4459C" w:rsidRDefault="00E64AF8" w:rsidP="00E30DAE">
      <w:pPr>
        <w:spacing w:line="276" w:lineRule="auto"/>
        <w:jc w:val="both"/>
        <w:rPr>
          <w:rFonts w:ascii="Garamond" w:hAnsi="Garamond"/>
          <w:i/>
          <w:sz w:val="24"/>
          <w:szCs w:val="24"/>
        </w:rPr>
      </w:pPr>
      <w:r w:rsidRPr="00B60DDF">
        <w:rPr>
          <w:rFonts w:ascii="Garamond" w:hAnsi="Garamond"/>
          <w:i/>
          <w:sz w:val="24"/>
          <w:szCs w:val="24"/>
        </w:rPr>
        <w:t>Turism</w:t>
      </w:r>
    </w:p>
    <w:p w14:paraId="5D43B86E" w14:textId="43374BCF" w:rsidR="00E64AF8" w:rsidRPr="00DF496C" w:rsidRDefault="00E64AF8" w:rsidP="00E30DAE">
      <w:pPr>
        <w:spacing w:after="200" w:line="276" w:lineRule="auto"/>
        <w:contextualSpacing/>
        <w:jc w:val="both"/>
        <w:rPr>
          <w:rFonts w:ascii="Garamond" w:hAnsi="Garamond"/>
          <w:sz w:val="24"/>
          <w:szCs w:val="24"/>
        </w:rPr>
      </w:pPr>
      <w:r w:rsidRPr="00F55B78">
        <w:rPr>
          <w:rFonts w:ascii="Garamond" w:hAnsi="Garamond"/>
          <w:sz w:val="24"/>
          <w:szCs w:val="24"/>
        </w:rPr>
        <w:t>Turismen är en av Kubas viktigaste</w:t>
      </w:r>
      <w:r w:rsidR="00E2635F">
        <w:rPr>
          <w:rFonts w:ascii="Garamond" w:hAnsi="Garamond"/>
          <w:sz w:val="24"/>
          <w:szCs w:val="24"/>
        </w:rPr>
        <w:t xml:space="preserve"> och snabbast växande </w:t>
      </w:r>
      <w:r w:rsidR="00E2635F" w:rsidRPr="00F55B78">
        <w:rPr>
          <w:rFonts w:ascii="Garamond" w:hAnsi="Garamond"/>
          <w:sz w:val="24"/>
          <w:szCs w:val="24"/>
        </w:rPr>
        <w:t>näring</w:t>
      </w:r>
      <w:r w:rsidR="00E2635F">
        <w:rPr>
          <w:rFonts w:ascii="Garamond" w:hAnsi="Garamond"/>
          <w:sz w:val="24"/>
          <w:szCs w:val="24"/>
        </w:rPr>
        <w:t>ar</w:t>
      </w:r>
      <w:r w:rsidRPr="00F55B78">
        <w:rPr>
          <w:rFonts w:ascii="Garamond" w:hAnsi="Garamond"/>
          <w:sz w:val="24"/>
          <w:szCs w:val="24"/>
        </w:rPr>
        <w:t xml:space="preserve"> och käll</w:t>
      </w:r>
      <w:r w:rsidR="00E2635F">
        <w:rPr>
          <w:rFonts w:ascii="Garamond" w:hAnsi="Garamond"/>
          <w:sz w:val="24"/>
          <w:szCs w:val="24"/>
        </w:rPr>
        <w:t>a</w:t>
      </w:r>
      <w:r w:rsidRPr="00F55B78">
        <w:rPr>
          <w:rFonts w:ascii="Garamond" w:hAnsi="Garamond"/>
          <w:sz w:val="24"/>
          <w:szCs w:val="24"/>
        </w:rPr>
        <w:t xml:space="preserve"> till utländsk valuta. </w:t>
      </w:r>
      <w:r>
        <w:rPr>
          <w:rFonts w:ascii="Garamond" w:hAnsi="Garamond"/>
          <w:sz w:val="24"/>
          <w:szCs w:val="24"/>
        </w:rPr>
        <w:t xml:space="preserve">Mellan </w:t>
      </w:r>
      <w:proofErr w:type="gramStart"/>
      <w:r>
        <w:rPr>
          <w:rFonts w:ascii="Garamond" w:hAnsi="Garamond"/>
          <w:sz w:val="24"/>
          <w:szCs w:val="24"/>
        </w:rPr>
        <w:t>2014-2018</w:t>
      </w:r>
      <w:proofErr w:type="gramEnd"/>
      <w:r>
        <w:rPr>
          <w:rFonts w:ascii="Garamond" w:hAnsi="Garamond"/>
          <w:sz w:val="24"/>
          <w:szCs w:val="24"/>
        </w:rPr>
        <w:t xml:space="preserve"> växte turismen med 60 procent. </w:t>
      </w:r>
      <w:r w:rsidRPr="00F55B78">
        <w:rPr>
          <w:rFonts w:ascii="Garamond" w:hAnsi="Garamond"/>
          <w:sz w:val="24"/>
          <w:szCs w:val="24"/>
        </w:rPr>
        <w:t>Den största gruppen turister kommer från Kanada. Stora turistströmmar kommer också från Italien, Spanien, Tyskland</w:t>
      </w:r>
      <w:r>
        <w:rPr>
          <w:rFonts w:ascii="Garamond" w:hAnsi="Garamond"/>
          <w:sz w:val="24"/>
          <w:szCs w:val="24"/>
        </w:rPr>
        <w:t>, Ryssland</w:t>
      </w:r>
      <w:r w:rsidRPr="00F55B78">
        <w:rPr>
          <w:rFonts w:ascii="Garamond" w:hAnsi="Garamond"/>
          <w:sz w:val="24"/>
          <w:szCs w:val="24"/>
        </w:rPr>
        <w:t xml:space="preserve"> Frankrike, Argentina, Mexiko och Storbritannien. Utvecklingen av amerikansk turism gick starkt framåt i </w:t>
      </w:r>
      <w:r w:rsidRPr="00F55B78">
        <w:rPr>
          <w:rFonts w:ascii="Garamond" w:hAnsi="Garamond"/>
          <w:sz w:val="24"/>
          <w:szCs w:val="24"/>
        </w:rPr>
        <w:lastRenderedPageBreak/>
        <w:t xml:space="preserve">kölvattnet av lättnader av embargot och reserestriktionerna som Barack Obama initierade. Den amerikanska turismen </w:t>
      </w:r>
      <w:r>
        <w:rPr>
          <w:rFonts w:ascii="Garamond" w:hAnsi="Garamond"/>
          <w:sz w:val="24"/>
          <w:szCs w:val="24"/>
        </w:rPr>
        <w:t xml:space="preserve">började dock </w:t>
      </w:r>
      <w:r w:rsidRPr="00F55B78">
        <w:rPr>
          <w:rFonts w:ascii="Garamond" w:hAnsi="Garamond"/>
          <w:sz w:val="24"/>
          <w:szCs w:val="24"/>
        </w:rPr>
        <w:t>minsk</w:t>
      </w:r>
      <w:r>
        <w:rPr>
          <w:rFonts w:ascii="Garamond" w:hAnsi="Garamond"/>
          <w:sz w:val="24"/>
          <w:szCs w:val="24"/>
        </w:rPr>
        <w:t>a</w:t>
      </w:r>
      <w:r w:rsidRPr="00F55B78">
        <w:rPr>
          <w:rFonts w:ascii="Garamond" w:hAnsi="Garamond"/>
          <w:sz w:val="24"/>
          <w:szCs w:val="24"/>
        </w:rPr>
        <w:t xml:space="preserve"> </w:t>
      </w:r>
      <w:r>
        <w:rPr>
          <w:rFonts w:ascii="Garamond" w:hAnsi="Garamond"/>
          <w:sz w:val="24"/>
          <w:szCs w:val="24"/>
        </w:rPr>
        <w:t>under</w:t>
      </w:r>
      <w:r w:rsidRPr="00F55B78">
        <w:rPr>
          <w:rFonts w:ascii="Garamond" w:hAnsi="Garamond"/>
          <w:sz w:val="24"/>
          <w:szCs w:val="24"/>
        </w:rPr>
        <w:t xml:space="preserve"> 2017</w:t>
      </w:r>
      <w:r>
        <w:rPr>
          <w:rFonts w:ascii="Garamond" w:hAnsi="Garamond"/>
          <w:sz w:val="24"/>
          <w:szCs w:val="24"/>
        </w:rPr>
        <w:t xml:space="preserve"> och framåt</w:t>
      </w:r>
      <w:r w:rsidRPr="00F55B78">
        <w:rPr>
          <w:rFonts w:ascii="Garamond" w:hAnsi="Garamond"/>
          <w:sz w:val="24"/>
          <w:szCs w:val="24"/>
        </w:rPr>
        <w:t xml:space="preserve"> på grund av den reseavrådan </w:t>
      </w:r>
      <w:proofErr w:type="spellStart"/>
      <w:r w:rsidRPr="00F55B78">
        <w:rPr>
          <w:rFonts w:ascii="Garamond" w:hAnsi="Garamond"/>
          <w:sz w:val="24"/>
          <w:szCs w:val="24"/>
        </w:rPr>
        <w:t>Trump</w:t>
      </w:r>
      <w:proofErr w:type="spellEnd"/>
      <w:r w:rsidRPr="00F55B78">
        <w:rPr>
          <w:rFonts w:ascii="Garamond" w:hAnsi="Garamond"/>
          <w:sz w:val="24"/>
          <w:szCs w:val="24"/>
        </w:rPr>
        <w:t>-administrationen utfärdade i oktober 2017</w:t>
      </w:r>
      <w:r>
        <w:rPr>
          <w:rFonts w:ascii="Garamond" w:hAnsi="Garamond"/>
          <w:sz w:val="24"/>
          <w:szCs w:val="24"/>
        </w:rPr>
        <w:t xml:space="preserve"> samt de påföljande årens hårdare reserestriktioner för amerikaner. Under 2019 minskade turismen med nio procent, enligt regeringen främst på grund av det amerikanska embargot och den brittiska researrangören Thomas Cooks konkurs. </w:t>
      </w:r>
      <w:r w:rsidR="006104B1">
        <w:rPr>
          <w:rFonts w:ascii="Garamond" w:hAnsi="Garamond"/>
          <w:sz w:val="24"/>
          <w:szCs w:val="24"/>
        </w:rPr>
        <w:t>Knappt 11 000</w:t>
      </w:r>
      <w:r>
        <w:rPr>
          <w:rFonts w:ascii="Garamond" w:hAnsi="Garamond"/>
          <w:sz w:val="24"/>
          <w:szCs w:val="24"/>
        </w:rPr>
        <w:t xml:space="preserve"> svenskar besökte Kuba 2019. </w:t>
      </w:r>
    </w:p>
    <w:p w14:paraId="0A0733CC" w14:textId="77777777" w:rsidR="00E64AF8" w:rsidRDefault="00E64AF8" w:rsidP="00E30DAE">
      <w:pPr>
        <w:spacing w:line="276" w:lineRule="auto"/>
        <w:jc w:val="both"/>
        <w:rPr>
          <w:rFonts w:ascii="Garamond" w:hAnsi="Garamond"/>
          <w:i/>
          <w:sz w:val="24"/>
          <w:szCs w:val="24"/>
        </w:rPr>
      </w:pPr>
    </w:p>
    <w:p w14:paraId="515AD8CC" w14:textId="77777777" w:rsidR="00E64AF8" w:rsidRPr="00B60DDF" w:rsidRDefault="00E64AF8" w:rsidP="00E30DAE">
      <w:pPr>
        <w:spacing w:line="276" w:lineRule="auto"/>
        <w:jc w:val="both"/>
        <w:rPr>
          <w:rFonts w:ascii="Garamond" w:hAnsi="Garamond"/>
          <w:sz w:val="24"/>
          <w:szCs w:val="24"/>
        </w:rPr>
      </w:pPr>
      <w:r w:rsidRPr="00B60DDF">
        <w:rPr>
          <w:rFonts w:ascii="Garamond" w:hAnsi="Garamond"/>
          <w:i/>
          <w:sz w:val="24"/>
          <w:szCs w:val="24"/>
        </w:rPr>
        <w:t>Hälsoserviceexport</w:t>
      </w:r>
    </w:p>
    <w:p w14:paraId="253BF316" w14:textId="6FC4F4F3" w:rsidR="00E64AF8" w:rsidRDefault="00E64AF8" w:rsidP="00E30DAE">
      <w:pPr>
        <w:spacing w:line="276" w:lineRule="auto"/>
        <w:jc w:val="both"/>
        <w:rPr>
          <w:rFonts w:ascii="Garamond" w:hAnsi="Garamond"/>
          <w:sz w:val="24"/>
          <w:szCs w:val="24"/>
        </w:rPr>
      </w:pPr>
      <w:r w:rsidRPr="00B60DDF">
        <w:rPr>
          <w:rFonts w:ascii="Garamond" w:hAnsi="Garamond"/>
          <w:sz w:val="24"/>
          <w:szCs w:val="24"/>
        </w:rPr>
        <w:t xml:space="preserve">Kubas största inkomstkälla utgörs i dag av exporten av tjänster inom hälsosektorn. Det beräknas att ca </w:t>
      </w:r>
      <w:r w:rsidR="00E30DAE">
        <w:rPr>
          <w:rFonts w:ascii="Garamond" w:hAnsi="Garamond"/>
          <w:sz w:val="24"/>
          <w:szCs w:val="24"/>
        </w:rPr>
        <w:t>3</w:t>
      </w:r>
      <w:r w:rsidRPr="00B60DDF">
        <w:rPr>
          <w:rFonts w:ascii="Garamond" w:hAnsi="Garamond"/>
          <w:sz w:val="24"/>
          <w:szCs w:val="24"/>
        </w:rPr>
        <w:t xml:space="preserve">0 000 kubanska läkare är utskickade på s.k. </w:t>
      </w:r>
      <w:proofErr w:type="spellStart"/>
      <w:r w:rsidRPr="00B60DDF">
        <w:rPr>
          <w:rFonts w:ascii="Garamond" w:hAnsi="Garamond"/>
          <w:i/>
          <w:sz w:val="24"/>
          <w:szCs w:val="24"/>
        </w:rPr>
        <w:t>misiones</w:t>
      </w:r>
      <w:proofErr w:type="spellEnd"/>
      <w:r w:rsidRPr="00B60DDF">
        <w:rPr>
          <w:rFonts w:ascii="Garamond" w:hAnsi="Garamond"/>
          <w:sz w:val="24"/>
          <w:szCs w:val="24"/>
        </w:rPr>
        <w:t xml:space="preserve"> i ett sextiotal länder. Flest läkare skickas till Venezuela. Läkarna betalas av kubanska staten en högre lön än vad de hade tjänat på Kuba för att ge incitament att åka, men sett till den låga lönenivån är det fortfarande små summor som betalas ut i löner i relation till vad de mottagande länderna betalar Kuba för de medicinska tjänsterna. Kubas intäkter från hälsoserviceexporten beräknas idag uppgå till ca </w:t>
      </w:r>
      <w:proofErr w:type="gramStart"/>
      <w:r w:rsidR="00A56FF1">
        <w:rPr>
          <w:rFonts w:ascii="Garamond" w:hAnsi="Garamond"/>
          <w:sz w:val="24"/>
          <w:szCs w:val="24"/>
        </w:rPr>
        <w:t>8</w:t>
      </w:r>
      <w:r>
        <w:rPr>
          <w:rFonts w:ascii="Garamond" w:hAnsi="Garamond"/>
          <w:sz w:val="24"/>
          <w:szCs w:val="24"/>
        </w:rPr>
        <w:t>-</w:t>
      </w:r>
      <w:r w:rsidRPr="00B60DDF">
        <w:rPr>
          <w:rFonts w:ascii="Garamond" w:hAnsi="Garamond"/>
          <w:sz w:val="24"/>
          <w:szCs w:val="24"/>
        </w:rPr>
        <w:t>11</w:t>
      </w:r>
      <w:proofErr w:type="gramEnd"/>
      <w:r w:rsidRPr="00B60DDF">
        <w:rPr>
          <w:rFonts w:ascii="Garamond" w:hAnsi="Garamond"/>
          <w:sz w:val="24"/>
          <w:szCs w:val="24"/>
        </w:rPr>
        <w:t xml:space="preserve"> miljarder USD årligen.</w:t>
      </w:r>
      <w:r>
        <w:rPr>
          <w:rFonts w:ascii="Garamond" w:hAnsi="Garamond"/>
          <w:sz w:val="24"/>
          <w:szCs w:val="24"/>
        </w:rPr>
        <w:t xml:space="preserve"> Sedan både Brasilien, Bolivia, Ecuador och El Salvador avslutat sina kontrakt för läkartjänster med Kuba under </w:t>
      </w:r>
      <w:proofErr w:type="gramStart"/>
      <w:r>
        <w:rPr>
          <w:rFonts w:ascii="Garamond" w:hAnsi="Garamond"/>
          <w:sz w:val="24"/>
          <w:szCs w:val="24"/>
        </w:rPr>
        <w:t>2018-2019</w:t>
      </w:r>
      <w:proofErr w:type="gramEnd"/>
      <w:r>
        <w:rPr>
          <w:rFonts w:ascii="Garamond" w:hAnsi="Garamond"/>
          <w:sz w:val="24"/>
          <w:szCs w:val="24"/>
        </w:rPr>
        <w:t xml:space="preserve"> tros inkomsten ha reducerats något. Den kubanska regeringen uppger dock att man lyckats allokera om läkarna till nya länder.</w:t>
      </w:r>
    </w:p>
    <w:p w14:paraId="07E958D4" w14:textId="77777777" w:rsidR="00E64AF8" w:rsidRPr="00B60DDF" w:rsidRDefault="00E64AF8" w:rsidP="00E30DAE">
      <w:pPr>
        <w:spacing w:line="276" w:lineRule="auto"/>
        <w:jc w:val="both"/>
        <w:rPr>
          <w:rFonts w:ascii="Garamond" w:hAnsi="Garamond"/>
          <w:sz w:val="24"/>
          <w:szCs w:val="24"/>
        </w:rPr>
      </w:pPr>
    </w:p>
    <w:p w14:paraId="1E017B95" w14:textId="77777777" w:rsidR="00E64AF8" w:rsidRPr="00D4459C" w:rsidRDefault="00E64AF8" w:rsidP="00E30DAE">
      <w:pPr>
        <w:spacing w:line="276" w:lineRule="auto"/>
        <w:jc w:val="both"/>
        <w:rPr>
          <w:rFonts w:ascii="Garamond" w:hAnsi="Garamond"/>
          <w:i/>
          <w:sz w:val="24"/>
          <w:szCs w:val="24"/>
        </w:rPr>
      </w:pPr>
      <w:r w:rsidRPr="00B60DDF">
        <w:rPr>
          <w:rFonts w:ascii="Garamond" w:hAnsi="Garamond"/>
          <w:i/>
          <w:sz w:val="24"/>
          <w:szCs w:val="24"/>
        </w:rPr>
        <w:t>Nickel</w:t>
      </w:r>
    </w:p>
    <w:p w14:paraId="39EED04E"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Kuba är världens tionde största nickelproducent med världens </w:t>
      </w:r>
      <w:r>
        <w:rPr>
          <w:rFonts w:ascii="Garamond" w:hAnsi="Garamond"/>
          <w:sz w:val="24"/>
          <w:szCs w:val="24"/>
        </w:rPr>
        <w:t>fjärde</w:t>
      </w:r>
      <w:r w:rsidRPr="00B60DDF">
        <w:rPr>
          <w:rFonts w:ascii="Garamond" w:hAnsi="Garamond"/>
          <w:sz w:val="24"/>
          <w:szCs w:val="24"/>
        </w:rPr>
        <w:t xml:space="preserve"> största reserver, enligt </w:t>
      </w:r>
      <w:r w:rsidRPr="00A56FF1">
        <w:rPr>
          <w:rFonts w:ascii="Garamond" w:hAnsi="Garamond"/>
          <w:i/>
          <w:iCs/>
          <w:sz w:val="24"/>
          <w:szCs w:val="24"/>
        </w:rPr>
        <w:t xml:space="preserve">US </w:t>
      </w:r>
      <w:proofErr w:type="spellStart"/>
      <w:r w:rsidRPr="00A56FF1">
        <w:rPr>
          <w:rFonts w:ascii="Garamond" w:hAnsi="Garamond"/>
          <w:i/>
          <w:iCs/>
          <w:sz w:val="24"/>
          <w:szCs w:val="24"/>
        </w:rPr>
        <w:t>Geological</w:t>
      </w:r>
      <w:proofErr w:type="spellEnd"/>
      <w:r w:rsidRPr="00A56FF1">
        <w:rPr>
          <w:rFonts w:ascii="Garamond" w:hAnsi="Garamond"/>
          <w:i/>
          <w:iCs/>
          <w:sz w:val="24"/>
          <w:szCs w:val="24"/>
        </w:rPr>
        <w:t xml:space="preserve"> Survey</w:t>
      </w:r>
      <w:r w:rsidRPr="00B60DDF">
        <w:rPr>
          <w:rFonts w:ascii="Garamond" w:hAnsi="Garamond"/>
          <w:sz w:val="24"/>
          <w:szCs w:val="24"/>
        </w:rPr>
        <w:t>. Kuba har också stora koboltfyndigheter. Nickel utvinns i landets östra delar (provinserna Camagüey och Holguin) och säljs på den internationella marknaden för tillverkning av rostfritt stål. Nickelproduktionen är viktig för landets ekonomi, men både landets produktion och priset på världsmarknaden fluktuerar kraftigt och har mer än halverats från 2010 till 201</w:t>
      </w:r>
      <w:r>
        <w:rPr>
          <w:rFonts w:ascii="Garamond" w:hAnsi="Garamond"/>
          <w:sz w:val="24"/>
          <w:szCs w:val="24"/>
        </w:rPr>
        <w:t>8</w:t>
      </w:r>
      <w:r w:rsidRPr="00B60DDF">
        <w:rPr>
          <w:rFonts w:ascii="Garamond" w:hAnsi="Garamond"/>
          <w:sz w:val="24"/>
          <w:szCs w:val="24"/>
        </w:rPr>
        <w:t>.</w:t>
      </w:r>
      <w:r>
        <w:rPr>
          <w:rFonts w:ascii="Garamond" w:hAnsi="Garamond"/>
          <w:sz w:val="24"/>
          <w:szCs w:val="24"/>
        </w:rPr>
        <w:t xml:space="preserve"> Nickelexporten utgjorde 10 procent av den totala varuexporten 2018.</w:t>
      </w:r>
    </w:p>
    <w:p w14:paraId="079626BC" w14:textId="77777777" w:rsidR="0004746C" w:rsidRDefault="0004746C" w:rsidP="00E30DAE">
      <w:pPr>
        <w:spacing w:line="276" w:lineRule="auto"/>
        <w:jc w:val="both"/>
        <w:rPr>
          <w:rFonts w:ascii="Garamond" w:hAnsi="Garamond"/>
          <w:i/>
          <w:sz w:val="24"/>
          <w:szCs w:val="24"/>
        </w:rPr>
      </w:pPr>
    </w:p>
    <w:p w14:paraId="140F3C13" w14:textId="26723CE0" w:rsidR="00E64AF8" w:rsidRPr="00B60DDF" w:rsidRDefault="00E64AF8" w:rsidP="00E30DAE">
      <w:pPr>
        <w:spacing w:line="276" w:lineRule="auto"/>
        <w:jc w:val="both"/>
        <w:rPr>
          <w:rFonts w:ascii="Garamond" w:hAnsi="Garamond"/>
          <w:i/>
          <w:sz w:val="24"/>
          <w:szCs w:val="24"/>
        </w:rPr>
      </w:pPr>
      <w:r w:rsidRPr="00B60DDF">
        <w:rPr>
          <w:rFonts w:ascii="Garamond" w:hAnsi="Garamond"/>
          <w:i/>
          <w:sz w:val="24"/>
          <w:szCs w:val="24"/>
        </w:rPr>
        <w:t>Gas och olja</w:t>
      </w:r>
    </w:p>
    <w:p w14:paraId="27805A2E" w14:textId="7D199875"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Kuba har vissa reserver av olja och naturgas vid sin norra kust, men uppgifterna om storleken varierar. Det finns förhoppningar om att man ska kunna bli självförsörjande och bli kvitt beroendet av importerad olja. Den kubanska oljan är dock av låg kvalitet och kräver kostsam behandling för att kunna säljas eller vara duglig som drivmedel. Den importerade oljan, liksom den inhemskt producerade, används till stor del till energiframställning och elektricitet. Den nationella utvinningen av olja och gas bidrar till ca hälften av energibehovet, den andra hälften har oljeleveranserna från Venezuela svarat för. När oljeleveranserna från Venezuela var som störst uppgick de till </w:t>
      </w:r>
      <w:r>
        <w:rPr>
          <w:rFonts w:ascii="Garamond" w:hAnsi="Garamond"/>
          <w:sz w:val="24"/>
          <w:szCs w:val="24"/>
        </w:rPr>
        <w:t>över 100</w:t>
      </w:r>
      <w:r w:rsidRPr="00B60DDF">
        <w:rPr>
          <w:rFonts w:ascii="Garamond" w:hAnsi="Garamond"/>
          <w:sz w:val="24"/>
          <w:szCs w:val="24"/>
        </w:rPr>
        <w:t xml:space="preserve"> 000 </w:t>
      </w:r>
      <w:r w:rsidRPr="00B60DDF">
        <w:rPr>
          <w:rFonts w:ascii="Garamond" w:hAnsi="Garamond"/>
          <w:sz w:val="24"/>
          <w:szCs w:val="24"/>
        </w:rPr>
        <w:lastRenderedPageBreak/>
        <w:t>fat/dag. Idag uppskattas de ligga på omkring hälften</w:t>
      </w:r>
      <w:r>
        <w:rPr>
          <w:rFonts w:ascii="Garamond" w:hAnsi="Garamond"/>
          <w:sz w:val="24"/>
          <w:szCs w:val="24"/>
        </w:rPr>
        <w:t xml:space="preserve">, </w:t>
      </w:r>
      <w:r w:rsidR="00F91057">
        <w:rPr>
          <w:rFonts w:ascii="Garamond" w:hAnsi="Garamond"/>
          <w:sz w:val="24"/>
          <w:szCs w:val="24"/>
        </w:rPr>
        <w:t xml:space="preserve">dock </w:t>
      </w:r>
      <w:r>
        <w:rPr>
          <w:rFonts w:ascii="Garamond" w:hAnsi="Garamond"/>
          <w:sz w:val="24"/>
          <w:szCs w:val="24"/>
        </w:rPr>
        <w:t xml:space="preserve">med </w:t>
      </w:r>
      <w:r w:rsidR="00F91057">
        <w:rPr>
          <w:rFonts w:ascii="Garamond" w:hAnsi="Garamond"/>
          <w:sz w:val="24"/>
          <w:szCs w:val="24"/>
        </w:rPr>
        <w:t>betydande</w:t>
      </w:r>
      <w:r>
        <w:rPr>
          <w:rFonts w:ascii="Garamond" w:hAnsi="Garamond"/>
          <w:sz w:val="24"/>
          <w:szCs w:val="24"/>
        </w:rPr>
        <w:t xml:space="preserve"> fluktuationer</w:t>
      </w:r>
      <w:r w:rsidR="00F91057">
        <w:rPr>
          <w:rFonts w:ascii="Garamond" w:hAnsi="Garamond"/>
          <w:sz w:val="24"/>
          <w:szCs w:val="24"/>
        </w:rPr>
        <w:t xml:space="preserve"> under den senaste tiden</w:t>
      </w:r>
      <w:r>
        <w:rPr>
          <w:rFonts w:ascii="Garamond" w:hAnsi="Garamond"/>
          <w:sz w:val="24"/>
          <w:szCs w:val="24"/>
        </w:rPr>
        <w:t>.</w:t>
      </w:r>
      <w:r w:rsidRPr="00B60DDF">
        <w:rPr>
          <w:rFonts w:ascii="Garamond" w:hAnsi="Garamond"/>
          <w:sz w:val="24"/>
          <w:szCs w:val="24"/>
        </w:rPr>
        <w:t xml:space="preserve"> Den nationella ekonomiska och sociala planen som löper fram till 2030 innehåller stora investeringar för att öka den förnybara energins andel av den totala energiproduktionen från dagens fem procent till 24 procent, vilket skulle kunna sänka kostnaderna för energiproduktion och göra landet mindre beroende av Venezuelas bistånd och av fossila bränslen i allmänhet. För att uppnå detta mål behövs utländskt kapital och investeringar. EU undertecknade i maj 2018 ett avtal med Kuba om ett utvecklingssamarbete inom förnyelsebar energi värt € 18 miljoner.</w:t>
      </w:r>
    </w:p>
    <w:p w14:paraId="02104FCF" w14:textId="77777777" w:rsidR="00E64AF8" w:rsidRPr="00B60DDF" w:rsidRDefault="00E64AF8" w:rsidP="00E30DAE">
      <w:pPr>
        <w:spacing w:line="276" w:lineRule="auto"/>
        <w:jc w:val="both"/>
        <w:rPr>
          <w:rFonts w:ascii="Garamond" w:hAnsi="Garamond"/>
          <w:sz w:val="24"/>
          <w:szCs w:val="24"/>
        </w:rPr>
      </w:pPr>
    </w:p>
    <w:p w14:paraId="46D27B69" w14:textId="77777777" w:rsidR="00E64AF8" w:rsidRPr="00B60DDF" w:rsidRDefault="00E64AF8" w:rsidP="00E30DAE">
      <w:pPr>
        <w:spacing w:line="276" w:lineRule="auto"/>
        <w:jc w:val="both"/>
        <w:rPr>
          <w:rFonts w:ascii="Garamond" w:hAnsi="Garamond"/>
          <w:sz w:val="24"/>
          <w:szCs w:val="24"/>
        </w:rPr>
      </w:pPr>
      <w:r w:rsidRPr="00B60DDF">
        <w:rPr>
          <w:rFonts w:ascii="Garamond" w:hAnsi="Garamond"/>
          <w:i/>
          <w:sz w:val="24"/>
          <w:szCs w:val="24"/>
        </w:rPr>
        <w:t>Jordbruk</w:t>
      </w:r>
    </w:p>
    <w:p w14:paraId="13D5425E"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Under 2008 genomfördes en jordbruksreform som syftade till att rationalisera, modernisera och decentralisera jordbrukssektorn. Som ett led i effektiviseringen av den inhemska livsmedelsproduktionen inledde regeringen en omfattande jordfördelning som skulle göra enskilda lantbrukare och kooperativ en del av självförsörjningsprojektet. Fram till nu har jordbruksreformen dock inte levererat avsett resultat. Genomförandet av reformen har försvårats av minskade investeringar, dålig planering, byråkrati och brist på företagsamhet.</w:t>
      </w:r>
    </w:p>
    <w:p w14:paraId="775FC4BF" w14:textId="77777777" w:rsidR="00E64AF8" w:rsidRPr="00B60DDF" w:rsidRDefault="00E64AF8" w:rsidP="00E30DAE">
      <w:pPr>
        <w:spacing w:line="276" w:lineRule="auto"/>
        <w:jc w:val="both"/>
        <w:rPr>
          <w:rFonts w:ascii="Garamond" w:hAnsi="Garamond"/>
          <w:sz w:val="24"/>
          <w:szCs w:val="24"/>
        </w:rPr>
      </w:pPr>
    </w:p>
    <w:p w14:paraId="300BC0DC" w14:textId="1670E15D"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Till följd av den ännu svaga jordbrukssektorn importerar Kuba idag upp till 80 procent av sitt livsmedelsbehov och tvingas importera många livsmedel som man innan revolutionen exporterade. Importbehovet är betungande för den skuldtyngda kubanska ekonomin, framför allt </w:t>
      </w:r>
      <w:r w:rsidR="0004746C">
        <w:rPr>
          <w:rFonts w:ascii="Garamond" w:hAnsi="Garamond"/>
          <w:sz w:val="24"/>
          <w:szCs w:val="24"/>
        </w:rPr>
        <w:t>eftersom</w:t>
      </w:r>
      <w:r w:rsidRPr="00B60DDF">
        <w:rPr>
          <w:rFonts w:ascii="Garamond" w:hAnsi="Garamond"/>
          <w:sz w:val="24"/>
          <w:szCs w:val="24"/>
        </w:rPr>
        <w:t xml:space="preserve"> den kubanska staten fortfarande subventionerar livsmedel till befolkningen med ransoneringskort, s.k. </w:t>
      </w:r>
      <w:proofErr w:type="spellStart"/>
      <w:r w:rsidRPr="00B60DDF">
        <w:rPr>
          <w:rFonts w:ascii="Garamond" w:hAnsi="Garamond"/>
          <w:i/>
          <w:sz w:val="24"/>
          <w:szCs w:val="24"/>
        </w:rPr>
        <w:t>libretas</w:t>
      </w:r>
      <w:proofErr w:type="spellEnd"/>
      <w:r w:rsidRPr="00B60DDF">
        <w:rPr>
          <w:rFonts w:ascii="Garamond" w:hAnsi="Garamond"/>
          <w:sz w:val="24"/>
          <w:szCs w:val="24"/>
        </w:rPr>
        <w:t>. Under senare år har dock staten skurit ned ordentligt i ransoneringskorten. Föresatser finns att så småningom avskaffa ransoneringssystemet i sin helhet även om detta ännu inte skett.</w:t>
      </w:r>
    </w:p>
    <w:p w14:paraId="3C20F719" w14:textId="77777777" w:rsidR="0004746C" w:rsidRDefault="0004746C" w:rsidP="00E30DAE">
      <w:pPr>
        <w:spacing w:line="276" w:lineRule="auto"/>
        <w:jc w:val="both"/>
        <w:rPr>
          <w:rFonts w:ascii="Garamond" w:hAnsi="Garamond"/>
          <w:sz w:val="24"/>
          <w:szCs w:val="24"/>
        </w:rPr>
      </w:pPr>
    </w:p>
    <w:p w14:paraId="4DF279EF" w14:textId="0382631D" w:rsidR="00E64AF8" w:rsidRDefault="00E64AF8" w:rsidP="00E30DAE">
      <w:pPr>
        <w:spacing w:line="276" w:lineRule="auto"/>
        <w:jc w:val="both"/>
        <w:rPr>
          <w:rFonts w:ascii="Garamond" w:hAnsi="Garamond"/>
          <w:sz w:val="24"/>
          <w:szCs w:val="24"/>
        </w:rPr>
      </w:pPr>
      <w:r w:rsidRPr="00B60DDF">
        <w:rPr>
          <w:rFonts w:ascii="Garamond" w:hAnsi="Garamond"/>
          <w:sz w:val="24"/>
          <w:szCs w:val="24"/>
        </w:rPr>
        <w:t xml:space="preserve">Historiskt sett har Kuba varit mycket beroende av sin sockerexport, som stundtals varit bland de största i världen. Fluktuerande priser och skördar medförde ofta tvära kast mellan boom och kris för landets ekonomi. Idag är sockerproduktionen fortfarande viktig för Kubas ekonomi, men landet har lämnat monokulturen bakom sig och är inte lika beroende av produkten som tidigare. </w:t>
      </w:r>
      <w:r>
        <w:rPr>
          <w:rFonts w:ascii="Garamond" w:hAnsi="Garamond"/>
          <w:sz w:val="24"/>
          <w:szCs w:val="24"/>
        </w:rPr>
        <w:t>Sockerexporten utgjorde 2018 drygt 30 procent av den totala varuexporten, följt av tobak (drygt 18 procent).</w:t>
      </w:r>
    </w:p>
    <w:p w14:paraId="6A3CA0A3" w14:textId="77777777" w:rsidR="00E64AF8" w:rsidRDefault="00E64AF8" w:rsidP="00E30DAE">
      <w:pPr>
        <w:spacing w:line="276" w:lineRule="auto"/>
        <w:jc w:val="both"/>
        <w:rPr>
          <w:rFonts w:ascii="Garamond" w:hAnsi="Garamond"/>
          <w:sz w:val="24"/>
          <w:szCs w:val="24"/>
        </w:rPr>
      </w:pPr>
    </w:p>
    <w:p w14:paraId="32EB6CC0" w14:textId="3FB5C987" w:rsidR="00E64AF8" w:rsidRDefault="00E64AF8" w:rsidP="00E30DAE">
      <w:pPr>
        <w:spacing w:line="276" w:lineRule="auto"/>
        <w:jc w:val="both"/>
        <w:rPr>
          <w:rFonts w:ascii="Garamond" w:hAnsi="Garamond"/>
          <w:b/>
          <w:sz w:val="24"/>
          <w:szCs w:val="24"/>
        </w:rPr>
      </w:pPr>
      <w:r w:rsidRPr="00F809E7">
        <w:rPr>
          <w:rFonts w:ascii="Garamond" w:hAnsi="Garamond"/>
          <w:b/>
          <w:sz w:val="24"/>
          <w:szCs w:val="24"/>
        </w:rPr>
        <w:t xml:space="preserve">Den privata sektorn </w:t>
      </w:r>
    </w:p>
    <w:p w14:paraId="0CB7CBEF" w14:textId="4B2B7B18" w:rsidR="00E64AF8" w:rsidRDefault="00E64AF8" w:rsidP="00E30DAE">
      <w:pPr>
        <w:spacing w:line="276" w:lineRule="auto"/>
        <w:jc w:val="both"/>
        <w:rPr>
          <w:rFonts w:ascii="Garamond" w:hAnsi="Garamond"/>
          <w:sz w:val="24"/>
          <w:szCs w:val="24"/>
        </w:rPr>
      </w:pPr>
      <w:r w:rsidRPr="00A95A93">
        <w:rPr>
          <w:rFonts w:ascii="Garamond" w:hAnsi="Garamond"/>
          <w:sz w:val="24"/>
          <w:szCs w:val="24"/>
        </w:rPr>
        <w:t xml:space="preserve">Under de senaste åren har </w:t>
      </w:r>
      <w:r>
        <w:rPr>
          <w:rFonts w:ascii="Garamond" w:hAnsi="Garamond"/>
          <w:sz w:val="24"/>
          <w:szCs w:val="24"/>
        </w:rPr>
        <w:t xml:space="preserve">den privata näringslivsverksamheten </w:t>
      </w:r>
      <w:r w:rsidRPr="00A95A93">
        <w:rPr>
          <w:rFonts w:ascii="Garamond" w:hAnsi="Garamond"/>
          <w:sz w:val="24"/>
          <w:szCs w:val="24"/>
        </w:rPr>
        <w:t xml:space="preserve">tagit fart på Kuba till följd av ekonomiska reformer och en växande turistsektor. Även om </w:t>
      </w:r>
      <w:r>
        <w:rPr>
          <w:rFonts w:ascii="Garamond" w:hAnsi="Garamond"/>
          <w:sz w:val="24"/>
          <w:szCs w:val="24"/>
        </w:rPr>
        <w:t>egenföretagarna</w:t>
      </w:r>
      <w:r w:rsidRPr="00A95A93">
        <w:rPr>
          <w:rFonts w:ascii="Garamond" w:hAnsi="Garamond"/>
          <w:sz w:val="24"/>
          <w:szCs w:val="24"/>
        </w:rPr>
        <w:t xml:space="preserve"> fortfarande står inför många hinder, inklusive</w:t>
      </w:r>
      <w:r w:rsidR="0004746C">
        <w:rPr>
          <w:rFonts w:ascii="Garamond" w:hAnsi="Garamond"/>
          <w:sz w:val="24"/>
          <w:szCs w:val="24"/>
        </w:rPr>
        <w:t xml:space="preserve"> byråkratiska </w:t>
      </w:r>
      <w:r w:rsidR="0004746C">
        <w:rPr>
          <w:rFonts w:ascii="Garamond" w:hAnsi="Garamond"/>
          <w:sz w:val="24"/>
          <w:szCs w:val="24"/>
        </w:rPr>
        <w:lastRenderedPageBreak/>
        <w:t>tillstånds-och övervakningsmekanismer,</w:t>
      </w:r>
      <w:r w:rsidRPr="00A95A93">
        <w:rPr>
          <w:rFonts w:ascii="Garamond" w:hAnsi="Garamond"/>
          <w:sz w:val="24"/>
          <w:szCs w:val="24"/>
        </w:rPr>
        <w:t xml:space="preserve"> </w:t>
      </w:r>
      <w:r w:rsidR="0004746C">
        <w:rPr>
          <w:rFonts w:ascii="Garamond" w:hAnsi="Garamond"/>
          <w:sz w:val="24"/>
          <w:szCs w:val="24"/>
        </w:rPr>
        <w:t>förbud</w:t>
      </w:r>
      <w:r w:rsidRPr="00A95A93">
        <w:rPr>
          <w:rFonts w:ascii="Garamond" w:hAnsi="Garamond"/>
          <w:sz w:val="24"/>
          <w:szCs w:val="24"/>
        </w:rPr>
        <w:t xml:space="preserve"> att importera och exportera</w:t>
      </w:r>
      <w:r w:rsidR="0004746C">
        <w:rPr>
          <w:rFonts w:ascii="Garamond" w:hAnsi="Garamond"/>
          <w:sz w:val="24"/>
          <w:szCs w:val="24"/>
        </w:rPr>
        <w:t xml:space="preserve"> och avsaknad av en grossistmarknad</w:t>
      </w:r>
      <w:r w:rsidRPr="00A95A93">
        <w:rPr>
          <w:rFonts w:ascii="Garamond" w:hAnsi="Garamond"/>
          <w:sz w:val="24"/>
          <w:szCs w:val="24"/>
        </w:rPr>
        <w:t xml:space="preserve"> </w:t>
      </w:r>
      <w:r w:rsidR="0004746C">
        <w:rPr>
          <w:rFonts w:ascii="Garamond" w:hAnsi="Garamond"/>
          <w:sz w:val="24"/>
          <w:szCs w:val="24"/>
        </w:rPr>
        <w:t xml:space="preserve">med mera, </w:t>
      </w:r>
      <w:r w:rsidRPr="00A95A93">
        <w:rPr>
          <w:rFonts w:ascii="Garamond" w:hAnsi="Garamond"/>
          <w:sz w:val="24"/>
          <w:szCs w:val="24"/>
        </w:rPr>
        <w:t>växer sysselsättningen inom den privata sektorn och uppgår nu till uppskattningsvis en tredjedel av den totala arbetskraften.</w:t>
      </w:r>
      <w:r>
        <w:rPr>
          <w:rFonts w:ascii="Garamond" w:hAnsi="Garamond"/>
          <w:sz w:val="24"/>
          <w:szCs w:val="24"/>
        </w:rPr>
        <w:t xml:space="preserve"> </w:t>
      </w:r>
      <w:r w:rsidRPr="00867B1B">
        <w:rPr>
          <w:rFonts w:ascii="Garamond" w:hAnsi="Garamond"/>
          <w:sz w:val="24"/>
          <w:szCs w:val="24"/>
        </w:rPr>
        <w:t xml:space="preserve">Sedan </w:t>
      </w:r>
      <w:proofErr w:type="spellStart"/>
      <w:r w:rsidRPr="00867B1B">
        <w:rPr>
          <w:rFonts w:ascii="Garamond" w:hAnsi="Garamond"/>
          <w:sz w:val="24"/>
          <w:szCs w:val="24"/>
        </w:rPr>
        <w:t>Raúl</w:t>
      </w:r>
      <w:proofErr w:type="spellEnd"/>
      <w:r w:rsidRPr="00867B1B">
        <w:rPr>
          <w:rFonts w:ascii="Garamond" w:hAnsi="Garamond"/>
          <w:sz w:val="24"/>
          <w:szCs w:val="24"/>
        </w:rPr>
        <w:t xml:space="preserve"> Castro formellt tog över makten från sin bror år 2008 lanserades ett ekonomiskt och socialt reformpaket som även innefattade den privata sektorn.</w:t>
      </w:r>
    </w:p>
    <w:p w14:paraId="02173C8F" w14:textId="77777777" w:rsidR="00E64AF8" w:rsidRDefault="00E64AF8" w:rsidP="00E30DAE">
      <w:pPr>
        <w:spacing w:line="276" w:lineRule="auto"/>
        <w:jc w:val="both"/>
        <w:rPr>
          <w:rFonts w:ascii="Garamond" w:hAnsi="Garamond"/>
          <w:sz w:val="24"/>
          <w:szCs w:val="24"/>
        </w:rPr>
      </w:pPr>
    </w:p>
    <w:p w14:paraId="507AFE48" w14:textId="3DF20F82" w:rsidR="00E64AF8" w:rsidRDefault="00E64AF8" w:rsidP="00E30DAE">
      <w:pPr>
        <w:spacing w:line="276" w:lineRule="auto"/>
        <w:jc w:val="both"/>
        <w:rPr>
          <w:rFonts w:ascii="Garamond" w:hAnsi="Garamond"/>
          <w:sz w:val="24"/>
          <w:szCs w:val="24"/>
        </w:rPr>
      </w:pPr>
      <w:r w:rsidRPr="00867B1B">
        <w:rPr>
          <w:rFonts w:ascii="Garamond" w:hAnsi="Garamond"/>
          <w:sz w:val="24"/>
          <w:szCs w:val="24"/>
        </w:rPr>
        <w:t xml:space="preserve">Nuvarande president Miguel </w:t>
      </w:r>
      <w:proofErr w:type="spellStart"/>
      <w:r w:rsidRPr="00867B1B">
        <w:rPr>
          <w:rFonts w:ascii="Garamond" w:hAnsi="Garamond"/>
          <w:sz w:val="24"/>
          <w:szCs w:val="24"/>
        </w:rPr>
        <w:t>Díaz-Canel</w:t>
      </w:r>
      <w:proofErr w:type="spellEnd"/>
      <w:r w:rsidRPr="00867B1B">
        <w:rPr>
          <w:rFonts w:ascii="Garamond" w:hAnsi="Garamond"/>
          <w:sz w:val="24"/>
          <w:szCs w:val="24"/>
        </w:rPr>
        <w:t xml:space="preserve"> uttalar sig ofta om vikten av den privata sektorns bidragande till ekonomisk tillväxt och har upprepade gånger manat till att söka accelerera reformer. I verkligheten går det dock långsamt, men likväl framåt. Den nya konstitutionen, som trädde i kraft i april, erkänner privat näringsverksamhet och privata sektorn som ett komplement i den centraliserade planekonomin, vilket är positivt. Regeringens verkliga vilja till reform</w:t>
      </w:r>
      <w:r>
        <w:rPr>
          <w:rFonts w:ascii="Garamond" w:hAnsi="Garamond"/>
          <w:sz w:val="24"/>
          <w:szCs w:val="24"/>
        </w:rPr>
        <w:t>er</w:t>
      </w:r>
      <w:r w:rsidRPr="00867B1B">
        <w:rPr>
          <w:rFonts w:ascii="Garamond" w:hAnsi="Garamond"/>
          <w:sz w:val="24"/>
          <w:szCs w:val="24"/>
        </w:rPr>
        <w:t xml:space="preserve"> kommer dock visa sig i antagandet av den rad av lagar som behövs för att implementera </w:t>
      </w:r>
      <w:r>
        <w:rPr>
          <w:rFonts w:ascii="Garamond" w:hAnsi="Garamond"/>
          <w:sz w:val="24"/>
          <w:szCs w:val="24"/>
        </w:rPr>
        <w:t>konstitutionen</w:t>
      </w:r>
      <w:r w:rsidRPr="00867B1B">
        <w:rPr>
          <w:rFonts w:ascii="Garamond" w:hAnsi="Garamond"/>
          <w:sz w:val="24"/>
          <w:szCs w:val="24"/>
        </w:rPr>
        <w:t xml:space="preserve">. </w:t>
      </w:r>
    </w:p>
    <w:p w14:paraId="197A032D" w14:textId="77777777" w:rsidR="00E64AF8" w:rsidRDefault="00E64AF8" w:rsidP="00E30DAE">
      <w:pPr>
        <w:spacing w:line="276" w:lineRule="auto"/>
        <w:jc w:val="both"/>
        <w:rPr>
          <w:rFonts w:ascii="Garamond" w:hAnsi="Garamond"/>
          <w:sz w:val="24"/>
          <w:szCs w:val="24"/>
        </w:rPr>
      </w:pPr>
    </w:p>
    <w:p w14:paraId="78D898DB" w14:textId="79452988" w:rsidR="00E64AF8" w:rsidRPr="00867B1B" w:rsidRDefault="00E64AF8" w:rsidP="00E30DAE">
      <w:pPr>
        <w:spacing w:line="276" w:lineRule="auto"/>
        <w:jc w:val="both"/>
        <w:rPr>
          <w:rFonts w:ascii="Garamond" w:hAnsi="Garamond"/>
          <w:sz w:val="24"/>
          <w:szCs w:val="24"/>
        </w:rPr>
      </w:pPr>
      <w:r>
        <w:rPr>
          <w:rFonts w:ascii="Garamond" w:hAnsi="Garamond"/>
          <w:sz w:val="24"/>
          <w:szCs w:val="24"/>
        </w:rPr>
        <w:t>Remitteringar från exilkubaner</w:t>
      </w:r>
      <w:r w:rsidRPr="00A95A93">
        <w:rPr>
          <w:rFonts w:ascii="Garamond" w:hAnsi="Garamond"/>
          <w:sz w:val="24"/>
          <w:szCs w:val="24"/>
        </w:rPr>
        <w:t xml:space="preserve"> har svarat för </w:t>
      </w:r>
      <w:proofErr w:type="gramStart"/>
      <w:r w:rsidRPr="00A95A93">
        <w:rPr>
          <w:rFonts w:ascii="Garamond" w:hAnsi="Garamond"/>
          <w:sz w:val="24"/>
          <w:szCs w:val="24"/>
        </w:rPr>
        <w:t>70-80</w:t>
      </w:r>
      <w:proofErr w:type="gramEnd"/>
      <w:r w:rsidR="00E57907">
        <w:rPr>
          <w:rFonts w:ascii="Garamond" w:hAnsi="Garamond"/>
          <w:sz w:val="24"/>
          <w:szCs w:val="24"/>
        </w:rPr>
        <w:t xml:space="preserve"> procent</w:t>
      </w:r>
      <w:r w:rsidR="0004746C">
        <w:rPr>
          <w:rFonts w:ascii="Garamond" w:hAnsi="Garamond"/>
          <w:sz w:val="24"/>
          <w:szCs w:val="24"/>
        </w:rPr>
        <w:t xml:space="preserve"> </w:t>
      </w:r>
      <w:r w:rsidRPr="00A95A93">
        <w:rPr>
          <w:rFonts w:ascii="Garamond" w:hAnsi="Garamond"/>
          <w:sz w:val="24"/>
          <w:szCs w:val="24"/>
        </w:rPr>
        <w:t>av investeringskapitalet i den privata sektorn,</w:t>
      </w:r>
      <w:r>
        <w:rPr>
          <w:rFonts w:ascii="Garamond" w:hAnsi="Garamond"/>
          <w:sz w:val="24"/>
          <w:szCs w:val="24"/>
        </w:rPr>
        <w:t xml:space="preserve"> därför har </w:t>
      </w:r>
      <w:proofErr w:type="spellStart"/>
      <w:r>
        <w:rPr>
          <w:rFonts w:ascii="Garamond" w:hAnsi="Garamond"/>
          <w:sz w:val="24"/>
          <w:szCs w:val="24"/>
        </w:rPr>
        <w:t>Trump</w:t>
      </w:r>
      <w:proofErr w:type="spellEnd"/>
      <w:r>
        <w:rPr>
          <w:rFonts w:ascii="Garamond" w:hAnsi="Garamond"/>
          <w:sz w:val="24"/>
          <w:szCs w:val="24"/>
        </w:rPr>
        <w:t xml:space="preserve">-administrationens begränsningar i penningöverföringar från USA även drabbat egenföretagare. </w:t>
      </w:r>
      <w:r w:rsidRPr="00A95A93">
        <w:rPr>
          <w:rFonts w:ascii="Garamond" w:hAnsi="Garamond"/>
          <w:sz w:val="24"/>
          <w:szCs w:val="24"/>
        </w:rPr>
        <w:t xml:space="preserve"> </w:t>
      </w:r>
    </w:p>
    <w:p w14:paraId="286CFCA6" w14:textId="77777777" w:rsidR="00E64AF8" w:rsidRDefault="00E64AF8" w:rsidP="00E30DAE">
      <w:pPr>
        <w:spacing w:line="276" w:lineRule="auto"/>
        <w:jc w:val="both"/>
        <w:rPr>
          <w:rFonts w:ascii="Garamond" w:hAnsi="Garamond"/>
          <w:b/>
          <w:sz w:val="24"/>
          <w:szCs w:val="24"/>
        </w:rPr>
      </w:pPr>
    </w:p>
    <w:p w14:paraId="78254624" w14:textId="77777777" w:rsidR="00E64AF8" w:rsidRPr="00B60DDF" w:rsidRDefault="00E64AF8" w:rsidP="00E30DAE">
      <w:pPr>
        <w:spacing w:line="276" w:lineRule="auto"/>
        <w:jc w:val="both"/>
        <w:rPr>
          <w:rFonts w:ascii="Garamond" w:hAnsi="Garamond"/>
          <w:sz w:val="24"/>
          <w:szCs w:val="24"/>
        </w:rPr>
      </w:pPr>
    </w:p>
    <w:p w14:paraId="4900CB1D" w14:textId="77777777" w:rsidR="00E64AF8" w:rsidRPr="00B60DDF" w:rsidRDefault="00E64AF8" w:rsidP="00E30DAE">
      <w:pPr>
        <w:spacing w:line="276" w:lineRule="auto"/>
        <w:jc w:val="both"/>
        <w:rPr>
          <w:rFonts w:ascii="Garamond" w:hAnsi="Garamond"/>
          <w:sz w:val="24"/>
          <w:szCs w:val="24"/>
        </w:rPr>
      </w:pPr>
      <w:r w:rsidRPr="00B60DDF">
        <w:rPr>
          <w:rFonts w:ascii="Garamond" w:hAnsi="Garamond"/>
          <w:b/>
          <w:sz w:val="24"/>
          <w:szCs w:val="24"/>
        </w:rPr>
        <w:t>Handel och handelspolitik</w:t>
      </w:r>
    </w:p>
    <w:p w14:paraId="5A394210" w14:textId="77777777" w:rsidR="00E64AF8" w:rsidRDefault="00E64AF8" w:rsidP="00E30DAE">
      <w:pPr>
        <w:spacing w:line="276" w:lineRule="auto"/>
        <w:jc w:val="both"/>
        <w:rPr>
          <w:rFonts w:ascii="Garamond" w:hAnsi="Garamond"/>
          <w:sz w:val="24"/>
          <w:szCs w:val="24"/>
        </w:rPr>
      </w:pPr>
      <w:r w:rsidRPr="00B60DDF">
        <w:rPr>
          <w:rFonts w:ascii="Garamond" w:hAnsi="Garamond"/>
          <w:sz w:val="24"/>
          <w:szCs w:val="24"/>
        </w:rPr>
        <w:t>Venezuela har under senare år varit Kubas största handelspartner</w:t>
      </w:r>
      <w:r>
        <w:rPr>
          <w:rFonts w:ascii="Garamond" w:hAnsi="Garamond"/>
          <w:sz w:val="24"/>
          <w:szCs w:val="24"/>
        </w:rPr>
        <w:t xml:space="preserve">. </w:t>
      </w:r>
      <w:r w:rsidRPr="00B60DDF">
        <w:rPr>
          <w:rFonts w:ascii="Garamond" w:hAnsi="Garamond"/>
          <w:sz w:val="24"/>
          <w:szCs w:val="24"/>
        </w:rPr>
        <w:t>Venezuela har även investerat i nickelgruvor och oljeraffinaderier på Kuba och de båda länderna har militärstrategiskt samarbete. I gengäld har Kuba bidragit med sjukvårdspersonal samt med hjälp inom jordbruket och skogsbruket i Venezuela. De senaste årens politiska och ekonomiska kris i Venezuela, jämte ett kraftigt reducerat oljepris på världsmarknaden, har emellertid lett till att det ekonomiska stödet till Kuba från Venezuela minskat, vilket är en av de huvudsakliga anledningarna till Kubas svåra ekonomiska situation</w:t>
      </w:r>
      <w:r w:rsidRPr="00026FFA">
        <w:rPr>
          <w:rFonts w:ascii="Garamond" w:hAnsi="Garamond"/>
          <w:sz w:val="24"/>
          <w:szCs w:val="24"/>
        </w:rPr>
        <w:t xml:space="preserve">. </w:t>
      </w:r>
      <w:bookmarkStart w:id="33" w:name="_Hlk519083794"/>
      <w:r w:rsidRPr="001B04F4">
        <w:rPr>
          <w:rFonts w:ascii="Garamond" w:hAnsi="Garamond"/>
          <w:sz w:val="24"/>
          <w:szCs w:val="24"/>
        </w:rPr>
        <w:t xml:space="preserve">Sjunkande världspriser på socker och nickel samt ökande oljepriser hade också negativ effekt på tillväxten under </w:t>
      </w:r>
      <w:r>
        <w:rPr>
          <w:rFonts w:ascii="Garamond" w:hAnsi="Garamond"/>
          <w:sz w:val="24"/>
          <w:szCs w:val="24"/>
        </w:rPr>
        <w:t>de senaste åren</w:t>
      </w:r>
      <w:r w:rsidRPr="001B04F4">
        <w:rPr>
          <w:rFonts w:ascii="Garamond" w:hAnsi="Garamond"/>
          <w:sz w:val="24"/>
          <w:szCs w:val="24"/>
        </w:rPr>
        <w:t xml:space="preserve">. </w:t>
      </w:r>
      <w:r>
        <w:rPr>
          <w:rFonts w:ascii="Garamond" w:hAnsi="Garamond"/>
          <w:sz w:val="24"/>
          <w:szCs w:val="24"/>
        </w:rPr>
        <w:t xml:space="preserve">Varuexporten har minskat med 50 procent mellan 2015 och 2019. </w:t>
      </w:r>
      <w:r w:rsidRPr="00026FFA">
        <w:rPr>
          <w:rFonts w:ascii="Garamond" w:hAnsi="Garamond"/>
          <w:sz w:val="24"/>
          <w:szCs w:val="24"/>
        </w:rPr>
        <w:t>Mellan 2012 och 2016 sjönk Venezuelas del av den kubanska handeln från 44 procent till 17,6. EU (fr.a. Spanien, Italien och Tyskland) är numera Kubas största handelspartner.</w:t>
      </w:r>
      <w:r w:rsidRPr="00B60DDF">
        <w:rPr>
          <w:rFonts w:ascii="Garamond" w:hAnsi="Garamond"/>
          <w:sz w:val="24"/>
          <w:szCs w:val="24"/>
        </w:rPr>
        <w:t xml:space="preserve"> Kina är den tredje största handelspartnern. Andra viktiga handelspartners är Kanada, Mexiko och Brasilien. </w:t>
      </w:r>
      <w:r>
        <w:rPr>
          <w:rFonts w:ascii="Garamond" w:hAnsi="Garamond"/>
          <w:sz w:val="24"/>
          <w:szCs w:val="24"/>
        </w:rPr>
        <w:t xml:space="preserve">USA är trots embargot Kubas sjunde största handelspartner. Genom en undantagsbestämmelse i Helms Burton-lagen som kodifierar det amerikanska embargot kan USA exportera livsmedel och medicin till Kuba mot kontant betalning. </w:t>
      </w:r>
    </w:p>
    <w:p w14:paraId="61A849AF" w14:textId="77777777" w:rsidR="00E64AF8" w:rsidRDefault="00E64AF8" w:rsidP="00E30DAE">
      <w:pPr>
        <w:spacing w:line="276" w:lineRule="auto"/>
        <w:jc w:val="both"/>
        <w:rPr>
          <w:rFonts w:ascii="Garamond" w:hAnsi="Garamond"/>
          <w:sz w:val="24"/>
          <w:szCs w:val="24"/>
        </w:rPr>
      </w:pPr>
    </w:p>
    <w:bookmarkEnd w:id="33"/>
    <w:p w14:paraId="101FB1AB" w14:textId="77777777" w:rsidR="00E64AF8" w:rsidRPr="008427A2" w:rsidRDefault="00E64AF8" w:rsidP="00E30DAE">
      <w:pPr>
        <w:spacing w:line="276" w:lineRule="auto"/>
        <w:jc w:val="both"/>
        <w:rPr>
          <w:rFonts w:ascii="Garamond" w:hAnsi="Garamond"/>
          <w:sz w:val="24"/>
          <w:szCs w:val="24"/>
        </w:rPr>
      </w:pPr>
      <w:r w:rsidRPr="00B60DDF">
        <w:rPr>
          <w:rFonts w:ascii="Garamond" w:hAnsi="Garamond"/>
          <w:b/>
          <w:sz w:val="24"/>
          <w:szCs w:val="24"/>
        </w:rPr>
        <w:lastRenderedPageBreak/>
        <w:t>Utlandsskulden</w:t>
      </w:r>
    </w:p>
    <w:p w14:paraId="45F0DF41"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 xml:space="preserve">Under tidigt åttiotal började Kuba få problem att återbetala sina skulder. Man började ställa in utländska betalningar och skulden växte snabbt. Efter Sovjetunionens upplösning förvärrades situationen och sedan ytterligare i samband med finanskrisen 2008. Sedan </w:t>
      </w:r>
      <w:proofErr w:type="spellStart"/>
      <w:r w:rsidRPr="00B60DDF">
        <w:rPr>
          <w:rFonts w:ascii="Garamond" w:hAnsi="Garamond"/>
          <w:sz w:val="24"/>
          <w:szCs w:val="24"/>
        </w:rPr>
        <w:t>Raúl</w:t>
      </w:r>
      <w:proofErr w:type="spellEnd"/>
      <w:r w:rsidRPr="00B60DDF">
        <w:rPr>
          <w:rFonts w:ascii="Garamond" w:hAnsi="Garamond"/>
          <w:sz w:val="24"/>
          <w:szCs w:val="24"/>
        </w:rPr>
        <w:t xml:space="preserve"> Castro kom till makten har ansträngningar gjorts för att söka återvinna landets kreditvärdighet. Under 2013 efterskänkte Ryssland 90 procent av Kubas skuld till forna Sovjetunionen, som beräknades till drygt 35 miljarder USD. Japan, som var den största </w:t>
      </w:r>
      <w:r>
        <w:rPr>
          <w:rFonts w:ascii="Garamond" w:hAnsi="Garamond"/>
          <w:sz w:val="24"/>
          <w:szCs w:val="24"/>
        </w:rPr>
        <w:t>borgenären</w:t>
      </w:r>
      <w:r w:rsidRPr="00B60DDF">
        <w:rPr>
          <w:rFonts w:ascii="Garamond" w:hAnsi="Garamond"/>
          <w:sz w:val="24"/>
          <w:szCs w:val="24"/>
        </w:rPr>
        <w:t xml:space="preserve"> efter Ryssland, följde strax efter, liksom Mexiko. Även andra stora kreditorer har efterskänkt stora delar av Kubas skuld, däribland länderna i Parisklubben</w:t>
      </w:r>
      <w:r w:rsidRPr="00B60DDF">
        <w:rPr>
          <w:rStyle w:val="FootnoteReference"/>
          <w:rFonts w:ascii="Garamond" w:hAnsi="Garamond"/>
          <w:sz w:val="24"/>
          <w:szCs w:val="24"/>
        </w:rPr>
        <w:footnoteReference w:id="2"/>
      </w:r>
      <w:r w:rsidRPr="00B60DDF">
        <w:rPr>
          <w:rFonts w:ascii="Garamond" w:hAnsi="Garamond"/>
          <w:sz w:val="24"/>
          <w:szCs w:val="24"/>
        </w:rPr>
        <w:t>, som i december 2015 träffade en överenskommelse med Kuba om skuldreglering. Skulden till länderna i Parisklubben uppgår efter överenskommelsen till ca 2,5 miljarder USD, varav cirka 75 miljoner dollar utgörs av skulden till Sverige.</w:t>
      </w:r>
    </w:p>
    <w:p w14:paraId="44B19A01" w14:textId="77777777" w:rsidR="00E64AF8" w:rsidRPr="00B60DDF" w:rsidRDefault="00E64AF8" w:rsidP="00E30DAE">
      <w:pPr>
        <w:spacing w:line="276" w:lineRule="auto"/>
        <w:jc w:val="both"/>
        <w:rPr>
          <w:rFonts w:ascii="Garamond" w:hAnsi="Garamond"/>
          <w:sz w:val="24"/>
          <w:szCs w:val="24"/>
        </w:rPr>
      </w:pPr>
    </w:p>
    <w:p w14:paraId="6C6DE696" w14:textId="127B0B03" w:rsidR="00E64AF8" w:rsidRPr="00B60DDF" w:rsidRDefault="00E64AF8" w:rsidP="00E30DAE">
      <w:pPr>
        <w:spacing w:line="276" w:lineRule="auto"/>
        <w:jc w:val="both"/>
        <w:rPr>
          <w:rFonts w:ascii="Garamond" w:hAnsi="Garamond"/>
          <w:sz w:val="24"/>
          <w:szCs w:val="24"/>
        </w:rPr>
      </w:pPr>
      <w:r>
        <w:rPr>
          <w:rFonts w:ascii="Garamond" w:hAnsi="Garamond"/>
          <w:sz w:val="24"/>
          <w:szCs w:val="24"/>
        </w:rPr>
        <w:t xml:space="preserve">Återbetalningen av skulderna </w:t>
      </w:r>
      <w:r w:rsidRPr="00B60DDF">
        <w:rPr>
          <w:rFonts w:ascii="Garamond" w:hAnsi="Garamond"/>
          <w:sz w:val="24"/>
          <w:szCs w:val="24"/>
        </w:rPr>
        <w:t>har inneburit en påfrestning på landets valutareserver, men på sikt bör återbetalningarna kunna öka Kubas kreditvärdighet och tillgång till internationella lån. Kuba</w:t>
      </w:r>
      <w:r>
        <w:rPr>
          <w:rFonts w:ascii="Garamond" w:hAnsi="Garamond"/>
          <w:sz w:val="24"/>
          <w:szCs w:val="24"/>
        </w:rPr>
        <w:t xml:space="preserve"> har </w:t>
      </w:r>
      <w:r w:rsidR="00EF7563">
        <w:rPr>
          <w:rFonts w:ascii="Garamond" w:hAnsi="Garamond"/>
          <w:sz w:val="24"/>
          <w:szCs w:val="24"/>
        </w:rPr>
        <w:t xml:space="preserve">dock haft </w:t>
      </w:r>
      <w:r>
        <w:rPr>
          <w:rFonts w:ascii="Garamond" w:hAnsi="Garamond"/>
          <w:sz w:val="24"/>
          <w:szCs w:val="24"/>
        </w:rPr>
        <w:t>svårigheter att betala till några av borgenärerna i Parisklubben</w:t>
      </w:r>
      <w:r w:rsidR="0004746C">
        <w:rPr>
          <w:rFonts w:ascii="Garamond" w:hAnsi="Garamond"/>
          <w:sz w:val="24"/>
          <w:szCs w:val="24"/>
        </w:rPr>
        <w:t xml:space="preserve"> under 2019</w:t>
      </w:r>
      <w:r>
        <w:rPr>
          <w:rFonts w:ascii="Garamond" w:hAnsi="Garamond"/>
          <w:sz w:val="24"/>
          <w:szCs w:val="24"/>
        </w:rPr>
        <w:t xml:space="preserve">. Samtidigt </w:t>
      </w:r>
      <w:r w:rsidRPr="00B60DDF">
        <w:rPr>
          <w:rFonts w:ascii="Garamond" w:hAnsi="Garamond"/>
          <w:sz w:val="24"/>
          <w:szCs w:val="24"/>
        </w:rPr>
        <w:t xml:space="preserve">har </w:t>
      </w:r>
      <w:r>
        <w:rPr>
          <w:rFonts w:ascii="Garamond" w:hAnsi="Garamond"/>
          <w:sz w:val="24"/>
          <w:szCs w:val="24"/>
        </w:rPr>
        <w:t xml:space="preserve">landet </w:t>
      </w:r>
      <w:r w:rsidRPr="00B60DDF">
        <w:rPr>
          <w:rFonts w:ascii="Garamond" w:hAnsi="Garamond"/>
          <w:sz w:val="24"/>
          <w:szCs w:val="24"/>
        </w:rPr>
        <w:t xml:space="preserve">börjat samla på sig nya skulder som följd av de stora återbetalningarna och </w:t>
      </w:r>
      <w:r>
        <w:rPr>
          <w:rFonts w:ascii="Garamond" w:hAnsi="Garamond"/>
          <w:sz w:val="24"/>
          <w:szCs w:val="24"/>
        </w:rPr>
        <w:t>har därmed</w:t>
      </w:r>
      <w:r w:rsidRPr="00B60DDF">
        <w:rPr>
          <w:rFonts w:ascii="Garamond" w:hAnsi="Garamond"/>
          <w:sz w:val="24"/>
          <w:szCs w:val="24"/>
        </w:rPr>
        <w:t xml:space="preserve"> svårt att betala för löpande import av livsmedel och konsumtionsvaror. </w:t>
      </w:r>
    </w:p>
    <w:p w14:paraId="4F33FA9B" w14:textId="77777777" w:rsidR="00E64AF8" w:rsidRPr="00B60DDF" w:rsidRDefault="00E64AF8" w:rsidP="00E30DAE">
      <w:pPr>
        <w:spacing w:line="276" w:lineRule="auto"/>
        <w:jc w:val="both"/>
        <w:rPr>
          <w:rFonts w:ascii="Garamond" w:hAnsi="Garamond"/>
          <w:sz w:val="24"/>
          <w:szCs w:val="24"/>
        </w:rPr>
      </w:pPr>
    </w:p>
    <w:p w14:paraId="1821FEBA" w14:textId="3BFA855D"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Det amerikanska embargot har medfört att Kuba är utestängt från internationella finansieringsinstitutioner som Världsbanken (WB) och Internationella valutafonden (IMF). I maj 2017 annonserades dock att Kuba antagits som medlem i Centralamerikanska banken för ekonomisk integration (CABEI), vilket är den första multilaterala finansieringsorganisationen som accepterat Kuba som medlem. Utöver det ekonomiska stöd</w:t>
      </w:r>
      <w:r w:rsidR="00E2635F">
        <w:rPr>
          <w:rFonts w:ascii="Garamond" w:hAnsi="Garamond"/>
          <w:sz w:val="24"/>
          <w:szCs w:val="24"/>
        </w:rPr>
        <w:t xml:space="preserve"> som</w:t>
      </w:r>
      <w:r>
        <w:rPr>
          <w:rFonts w:ascii="Garamond" w:hAnsi="Garamond"/>
          <w:sz w:val="24"/>
          <w:szCs w:val="24"/>
        </w:rPr>
        <w:t xml:space="preserve"> </w:t>
      </w:r>
      <w:r w:rsidRPr="00B60DDF">
        <w:rPr>
          <w:rFonts w:ascii="Garamond" w:hAnsi="Garamond"/>
          <w:sz w:val="24"/>
          <w:szCs w:val="24"/>
        </w:rPr>
        <w:t xml:space="preserve">medlemskapet kan innebära torde inträdet även få stort symbolvärde; de befintliga medlemmarna röstade om Kubas medlemskap och deras tilltro till Kubas ekonomiska potential framöver kan få positiv inverkan på utländska kreditgivare, handelspartners och investerare. Ett medlemskap i Interamerikanska utvecklingsbanken (IDB) skulle kräva medlemskap i OAS (De amerikanska staternas organisation), vilket Kuba har förklarat att man inte är intresserad av. Kuba står även utanför den regionala samarbetsorganisationen för de karibiska staterna CARICOM. Den latinamerikanska utvecklingsbanken </w:t>
      </w:r>
      <w:proofErr w:type="spellStart"/>
      <w:r w:rsidRPr="00B60DDF">
        <w:rPr>
          <w:rFonts w:ascii="Garamond" w:hAnsi="Garamond"/>
          <w:i/>
          <w:sz w:val="24"/>
          <w:szCs w:val="24"/>
        </w:rPr>
        <w:t>Comisión</w:t>
      </w:r>
      <w:proofErr w:type="spellEnd"/>
      <w:r w:rsidRPr="00B60DDF">
        <w:rPr>
          <w:rFonts w:ascii="Garamond" w:hAnsi="Garamond"/>
          <w:i/>
          <w:sz w:val="24"/>
          <w:szCs w:val="24"/>
        </w:rPr>
        <w:t xml:space="preserve"> </w:t>
      </w:r>
      <w:proofErr w:type="spellStart"/>
      <w:r w:rsidRPr="00B60DDF">
        <w:rPr>
          <w:rFonts w:ascii="Garamond" w:hAnsi="Garamond"/>
          <w:i/>
          <w:sz w:val="24"/>
          <w:szCs w:val="24"/>
        </w:rPr>
        <w:t>Andina</w:t>
      </w:r>
      <w:proofErr w:type="spellEnd"/>
      <w:r w:rsidRPr="00B60DDF">
        <w:rPr>
          <w:rFonts w:ascii="Garamond" w:hAnsi="Garamond"/>
          <w:i/>
          <w:sz w:val="24"/>
          <w:szCs w:val="24"/>
        </w:rPr>
        <w:t xml:space="preserve"> de </w:t>
      </w:r>
      <w:proofErr w:type="spellStart"/>
      <w:r w:rsidRPr="00B60DDF">
        <w:rPr>
          <w:rFonts w:ascii="Garamond" w:hAnsi="Garamond"/>
          <w:i/>
          <w:sz w:val="24"/>
          <w:szCs w:val="24"/>
        </w:rPr>
        <w:t>Fomento</w:t>
      </w:r>
      <w:proofErr w:type="spellEnd"/>
      <w:r w:rsidRPr="00B60DDF">
        <w:rPr>
          <w:rFonts w:ascii="Garamond" w:hAnsi="Garamond"/>
          <w:sz w:val="24"/>
          <w:szCs w:val="24"/>
        </w:rPr>
        <w:t xml:space="preserve">, CAF, är en </w:t>
      </w:r>
      <w:r w:rsidRPr="00B60DDF">
        <w:rPr>
          <w:rFonts w:ascii="Garamond" w:hAnsi="Garamond"/>
          <w:sz w:val="24"/>
          <w:szCs w:val="24"/>
        </w:rPr>
        <w:lastRenderedPageBreak/>
        <w:t>annan möjlighet som står till buds. Den Europeiska Investeringsbanken (EIB) har visat intresse för att etablera sig i landet</w:t>
      </w:r>
      <w:r>
        <w:rPr>
          <w:rFonts w:ascii="Garamond" w:hAnsi="Garamond"/>
          <w:sz w:val="24"/>
          <w:szCs w:val="24"/>
        </w:rPr>
        <w:t xml:space="preserve">. </w:t>
      </w:r>
      <w:r w:rsidRPr="00B60DDF">
        <w:rPr>
          <w:rFonts w:ascii="Garamond" w:hAnsi="Garamond"/>
          <w:sz w:val="24"/>
          <w:szCs w:val="24"/>
        </w:rPr>
        <w:t xml:space="preserve"> </w:t>
      </w:r>
    </w:p>
    <w:p w14:paraId="6B35E70E" w14:textId="77777777" w:rsidR="00E64AF8" w:rsidRDefault="00E64AF8" w:rsidP="00E30DAE">
      <w:pPr>
        <w:spacing w:line="276" w:lineRule="auto"/>
        <w:jc w:val="both"/>
        <w:rPr>
          <w:rFonts w:ascii="Garamond" w:hAnsi="Garamond"/>
          <w:sz w:val="24"/>
          <w:szCs w:val="24"/>
        </w:rPr>
      </w:pPr>
      <w:r w:rsidRPr="00B60DDF">
        <w:rPr>
          <w:rFonts w:ascii="Garamond" w:hAnsi="Garamond"/>
          <w:sz w:val="24"/>
          <w:szCs w:val="24"/>
        </w:rPr>
        <w:t xml:space="preserve"> </w:t>
      </w:r>
    </w:p>
    <w:p w14:paraId="0DEDFADA" w14:textId="77777777" w:rsidR="00E64AF8" w:rsidRPr="00B60DDF" w:rsidRDefault="00E64AF8" w:rsidP="00E30DAE">
      <w:pPr>
        <w:spacing w:line="276" w:lineRule="auto"/>
        <w:jc w:val="both"/>
        <w:rPr>
          <w:rFonts w:ascii="Garamond" w:hAnsi="Garamond"/>
          <w:b/>
          <w:sz w:val="24"/>
          <w:szCs w:val="24"/>
        </w:rPr>
      </w:pPr>
      <w:r w:rsidRPr="00B60DDF">
        <w:rPr>
          <w:rFonts w:ascii="Garamond" w:hAnsi="Garamond"/>
          <w:b/>
          <w:sz w:val="24"/>
          <w:szCs w:val="24"/>
        </w:rPr>
        <w:t>Utländska investeringar</w:t>
      </w:r>
    </w:p>
    <w:p w14:paraId="5D714E9F" w14:textId="77777777" w:rsidR="00E64AF8" w:rsidRDefault="00E64AF8" w:rsidP="00E30DAE">
      <w:pPr>
        <w:spacing w:line="276" w:lineRule="auto"/>
        <w:jc w:val="both"/>
        <w:rPr>
          <w:rFonts w:ascii="Garamond" w:hAnsi="Garamond"/>
          <w:sz w:val="24"/>
          <w:szCs w:val="24"/>
        </w:rPr>
      </w:pPr>
      <w:r w:rsidRPr="00B60DDF">
        <w:rPr>
          <w:rFonts w:ascii="Garamond" w:hAnsi="Garamond"/>
          <w:sz w:val="24"/>
          <w:szCs w:val="24"/>
        </w:rPr>
        <w:t xml:space="preserve">En uttalad prioritering av den kubanska regeringen är att öka de utländska investeringarna i landet. I syfte att attrahera mer investeringar antogs 2014 en ny lag för utländska investeringar. Lagen innebär bl. a särskilt förmånliga villkor för utländska investeringar i frihandelszonen </w:t>
      </w:r>
      <w:proofErr w:type="spellStart"/>
      <w:r w:rsidRPr="00B60DDF">
        <w:rPr>
          <w:rFonts w:ascii="Garamond" w:hAnsi="Garamond"/>
          <w:sz w:val="24"/>
          <w:szCs w:val="24"/>
        </w:rPr>
        <w:t>Mariel</w:t>
      </w:r>
      <w:proofErr w:type="spellEnd"/>
      <w:r w:rsidRPr="00B60DDF">
        <w:rPr>
          <w:rFonts w:ascii="Garamond" w:hAnsi="Garamond"/>
          <w:sz w:val="24"/>
          <w:szCs w:val="24"/>
        </w:rPr>
        <w:t>, 40 km väster om Havanna. Intresset från utländska företag att investera på ön har</w:t>
      </w:r>
      <w:r>
        <w:rPr>
          <w:rFonts w:ascii="Garamond" w:hAnsi="Garamond"/>
          <w:sz w:val="24"/>
          <w:szCs w:val="24"/>
        </w:rPr>
        <w:t xml:space="preserve">, som i samband med de varmare relationerna med USA </w:t>
      </w:r>
      <w:proofErr w:type="gramStart"/>
      <w:r>
        <w:rPr>
          <w:rFonts w:ascii="Garamond" w:hAnsi="Garamond"/>
          <w:sz w:val="24"/>
          <w:szCs w:val="24"/>
        </w:rPr>
        <w:t>2014-2017</w:t>
      </w:r>
      <w:proofErr w:type="gramEnd"/>
      <w:r>
        <w:rPr>
          <w:rFonts w:ascii="Garamond" w:hAnsi="Garamond"/>
          <w:sz w:val="24"/>
          <w:szCs w:val="24"/>
        </w:rPr>
        <w:t xml:space="preserve"> ökade kraftigt, har på senare år mattats av. </w:t>
      </w:r>
    </w:p>
    <w:p w14:paraId="5EE21163" w14:textId="77777777" w:rsidR="00E64AF8" w:rsidRDefault="00E64AF8" w:rsidP="00E30DAE">
      <w:pPr>
        <w:spacing w:line="276" w:lineRule="auto"/>
        <w:jc w:val="both"/>
        <w:rPr>
          <w:rFonts w:ascii="Garamond" w:hAnsi="Garamond"/>
          <w:sz w:val="24"/>
          <w:szCs w:val="24"/>
        </w:rPr>
      </w:pPr>
    </w:p>
    <w:p w14:paraId="21C1E4D3" w14:textId="77777777"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Affärsklimatet utgör fortsatt en begränsning givet de svaga institutionerna, den tålamodskrävande och snåriga byråkratin samt ett icke-transparent rättssystem. Det dubbla valutasystemet med flera olika växelkurser försvårar för investerare att bedöma risker och orsakar snedvridning på marknaden. Investeringar måste, utom i vissa undantagsfall, ske som ett joint-venture-företag med den kubanska staten och ett företag måste gå genom den statliga bemanningsbyrån för att anställa arbetskraft; lön utbetalas direkt till bemanningsbyrån som därefter ges en liten del av summan till arbetstagaren. Många investerare vittnar om svårigheter att föra ut vinster.</w:t>
      </w:r>
      <w:r>
        <w:rPr>
          <w:rFonts w:ascii="Garamond" w:hAnsi="Garamond"/>
          <w:sz w:val="24"/>
          <w:szCs w:val="24"/>
        </w:rPr>
        <w:t xml:space="preserve"> År 2019 investerades 1,7 mdr USD i landet enligt officiella uppgifter. </w:t>
      </w:r>
      <w:r w:rsidRPr="00B60DDF">
        <w:rPr>
          <w:rFonts w:ascii="Garamond" w:hAnsi="Garamond"/>
          <w:sz w:val="24"/>
          <w:szCs w:val="24"/>
        </w:rPr>
        <w:t xml:space="preserve">Regeringens mål </w:t>
      </w:r>
      <w:r>
        <w:rPr>
          <w:rFonts w:ascii="Garamond" w:hAnsi="Garamond"/>
          <w:sz w:val="24"/>
          <w:szCs w:val="24"/>
        </w:rPr>
        <w:t xml:space="preserve">är att uppnå </w:t>
      </w:r>
      <w:r w:rsidRPr="00B60DDF">
        <w:rPr>
          <w:rFonts w:ascii="Garamond" w:hAnsi="Garamond"/>
          <w:sz w:val="24"/>
          <w:szCs w:val="24"/>
        </w:rPr>
        <w:t>2,5 mdr USD i utländska investeringar per år</w:t>
      </w:r>
      <w:r>
        <w:rPr>
          <w:rFonts w:ascii="Garamond" w:hAnsi="Garamond"/>
          <w:sz w:val="24"/>
          <w:szCs w:val="24"/>
        </w:rPr>
        <w:t xml:space="preserve">. </w:t>
      </w:r>
    </w:p>
    <w:p w14:paraId="26742EAC" w14:textId="77777777" w:rsidR="00E64AF8" w:rsidRDefault="00E64AF8" w:rsidP="00E30DAE">
      <w:pPr>
        <w:spacing w:line="276" w:lineRule="auto"/>
        <w:jc w:val="both"/>
        <w:rPr>
          <w:rFonts w:ascii="Garamond" w:hAnsi="Garamond"/>
          <w:sz w:val="24"/>
          <w:szCs w:val="24"/>
        </w:rPr>
      </w:pPr>
    </w:p>
    <w:p w14:paraId="7A270151" w14:textId="77777777" w:rsidR="00E64AF8" w:rsidRPr="00DE2BE1" w:rsidRDefault="00E64AF8" w:rsidP="00E30DAE">
      <w:pPr>
        <w:spacing w:line="276" w:lineRule="auto"/>
        <w:jc w:val="both"/>
        <w:rPr>
          <w:rFonts w:ascii="Garamond" w:hAnsi="Garamond"/>
          <w:i/>
          <w:iCs/>
          <w:sz w:val="24"/>
          <w:szCs w:val="24"/>
        </w:rPr>
      </w:pPr>
      <w:r w:rsidRPr="00DE2BE1">
        <w:rPr>
          <w:rFonts w:ascii="Garamond" w:hAnsi="Garamond"/>
          <w:i/>
          <w:iCs/>
          <w:sz w:val="24"/>
          <w:szCs w:val="24"/>
        </w:rPr>
        <w:t xml:space="preserve">Helms Burton-lagen </w:t>
      </w:r>
    </w:p>
    <w:p w14:paraId="456A795C" w14:textId="6C83F1EC" w:rsidR="00E64AF8" w:rsidRDefault="00E64AF8" w:rsidP="00E30DAE">
      <w:pPr>
        <w:spacing w:line="276" w:lineRule="auto"/>
        <w:jc w:val="both"/>
        <w:rPr>
          <w:rFonts w:ascii="Garamond" w:hAnsi="Garamond"/>
          <w:sz w:val="24"/>
          <w:szCs w:val="24"/>
        </w:rPr>
      </w:pPr>
      <w:r>
        <w:rPr>
          <w:rFonts w:ascii="Garamond" w:hAnsi="Garamond"/>
          <w:sz w:val="24"/>
          <w:szCs w:val="24"/>
        </w:rPr>
        <w:t xml:space="preserve">Det amerikanska embargot kodifierades i lag 1996 i form av den s.k. </w:t>
      </w:r>
      <w:r w:rsidRPr="009F094C">
        <w:rPr>
          <w:rFonts w:ascii="Garamond" w:hAnsi="Garamond"/>
          <w:i/>
          <w:iCs/>
          <w:sz w:val="24"/>
          <w:szCs w:val="24"/>
        </w:rPr>
        <w:t>Helms-Burton</w:t>
      </w:r>
      <w:r w:rsidR="00E30DAE" w:rsidRPr="009F094C">
        <w:rPr>
          <w:rFonts w:ascii="Garamond" w:hAnsi="Garamond"/>
          <w:i/>
          <w:iCs/>
          <w:sz w:val="24"/>
          <w:szCs w:val="24"/>
        </w:rPr>
        <w:t xml:space="preserve"> </w:t>
      </w:r>
      <w:proofErr w:type="spellStart"/>
      <w:r w:rsidR="00E30DAE" w:rsidRPr="009F094C">
        <w:rPr>
          <w:rFonts w:ascii="Garamond" w:hAnsi="Garamond"/>
          <w:i/>
          <w:iCs/>
          <w:sz w:val="24"/>
          <w:szCs w:val="24"/>
        </w:rPr>
        <w:t>Act</w:t>
      </w:r>
      <w:proofErr w:type="spellEnd"/>
      <w:r>
        <w:rPr>
          <w:rFonts w:ascii="Garamond" w:hAnsi="Garamond"/>
          <w:sz w:val="24"/>
          <w:szCs w:val="24"/>
        </w:rPr>
        <w:t xml:space="preserve">. </w:t>
      </w:r>
      <w:r w:rsidRPr="00DE2BE1">
        <w:rPr>
          <w:rFonts w:ascii="Garamond" w:hAnsi="Garamond"/>
          <w:sz w:val="24"/>
          <w:szCs w:val="24"/>
        </w:rPr>
        <w:t>Lagen utvidgade den territoriella tillämpningen av det ursprungliga embargot till att gälla utländska företag som handlar med Kuba</w:t>
      </w:r>
      <w:r>
        <w:rPr>
          <w:rFonts w:ascii="Garamond" w:hAnsi="Garamond"/>
          <w:sz w:val="24"/>
          <w:szCs w:val="24"/>
        </w:rPr>
        <w:t xml:space="preserve">. Genom lagens kapitel III infördes också en möjlighet för amerikanska medborgare att stämma utländska företag </w:t>
      </w:r>
      <w:r w:rsidRPr="00B60DDF">
        <w:rPr>
          <w:rFonts w:ascii="Garamond" w:hAnsi="Garamond"/>
          <w:sz w:val="24"/>
          <w:szCs w:val="24"/>
        </w:rPr>
        <w:t>som har verksamhet i före detta amerikansk egendom på Kuba och som beslagtogs av den kubanska staten under revolutionen 1959</w:t>
      </w:r>
      <w:r>
        <w:rPr>
          <w:rFonts w:ascii="Garamond" w:hAnsi="Garamond"/>
          <w:sz w:val="24"/>
          <w:szCs w:val="24"/>
        </w:rPr>
        <w:t xml:space="preserve">. Denna bestämmelse har suspenderats av alla amerikanska administrationer sedan 1996, fram till det att den aktiverades för första gången i maj 2019 av </w:t>
      </w:r>
      <w:proofErr w:type="spellStart"/>
      <w:r>
        <w:rPr>
          <w:rFonts w:ascii="Garamond" w:hAnsi="Garamond"/>
          <w:sz w:val="24"/>
          <w:szCs w:val="24"/>
        </w:rPr>
        <w:t>Trump</w:t>
      </w:r>
      <w:proofErr w:type="spellEnd"/>
      <w:r>
        <w:rPr>
          <w:rFonts w:ascii="Garamond" w:hAnsi="Garamond"/>
          <w:sz w:val="24"/>
          <w:szCs w:val="24"/>
        </w:rPr>
        <w:t xml:space="preserve">-administrationen. </w:t>
      </w:r>
      <w:r w:rsidRPr="00B60DDF">
        <w:rPr>
          <w:rFonts w:ascii="Garamond" w:hAnsi="Garamond"/>
          <w:sz w:val="24"/>
          <w:szCs w:val="24"/>
        </w:rPr>
        <w:t xml:space="preserve">Det uppskattas att fordringar värda åtta miljarder USD är kvalificerade för stämningar. Dock förväntas långt ifrån alla fall tas till rättegång, bland annat på grund av dyra rättsliga kostnader och blockerande lagstiftning i andra länder. </w:t>
      </w:r>
      <w:r>
        <w:rPr>
          <w:rFonts w:ascii="Garamond" w:hAnsi="Garamond"/>
          <w:sz w:val="24"/>
          <w:szCs w:val="24"/>
        </w:rPr>
        <w:t xml:space="preserve">Några företag har redan ställts inför rätta men har vunnit i första instans. </w:t>
      </w:r>
      <w:r w:rsidRPr="00B60DDF">
        <w:rPr>
          <w:rFonts w:ascii="Garamond" w:hAnsi="Garamond"/>
          <w:sz w:val="24"/>
          <w:szCs w:val="24"/>
        </w:rPr>
        <w:t xml:space="preserve">Aktiveringen av bestämmelsen verkar dock avskräckande för investerare. </w:t>
      </w:r>
    </w:p>
    <w:p w14:paraId="20BE9EDB" w14:textId="77777777" w:rsidR="00E64AF8" w:rsidRDefault="00E64AF8" w:rsidP="00E30DAE">
      <w:pPr>
        <w:spacing w:line="276" w:lineRule="auto"/>
        <w:jc w:val="both"/>
        <w:rPr>
          <w:rFonts w:ascii="Garamond" w:hAnsi="Garamond"/>
          <w:sz w:val="24"/>
          <w:szCs w:val="24"/>
        </w:rPr>
      </w:pPr>
    </w:p>
    <w:p w14:paraId="642597D7" w14:textId="77777777" w:rsidR="004E2DE0" w:rsidRDefault="004E2DE0" w:rsidP="00E30DAE">
      <w:pPr>
        <w:spacing w:line="276" w:lineRule="auto"/>
        <w:jc w:val="both"/>
        <w:rPr>
          <w:rFonts w:ascii="Garamond" w:hAnsi="Garamond"/>
          <w:b/>
          <w:sz w:val="24"/>
          <w:szCs w:val="24"/>
        </w:rPr>
      </w:pPr>
    </w:p>
    <w:p w14:paraId="4BE108A1" w14:textId="33ABE2B9" w:rsidR="00E64AF8" w:rsidRPr="00B60DDF" w:rsidRDefault="00E64AF8" w:rsidP="00E30DAE">
      <w:pPr>
        <w:spacing w:line="276" w:lineRule="auto"/>
        <w:jc w:val="both"/>
        <w:rPr>
          <w:rFonts w:ascii="Garamond" w:hAnsi="Garamond"/>
          <w:b/>
          <w:sz w:val="24"/>
          <w:szCs w:val="24"/>
        </w:rPr>
      </w:pPr>
      <w:r w:rsidRPr="00B60DDF">
        <w:rPr>
          <w:rFonts w:ascii="Garamond" w:hAnsi="Garamond"/>
          <w:b/>
          <w:sz w:val="24"/>
          <w:szCs w:val="24"/>
        </w:rPr>
        <w:lastRenderedPageBreak/>
        <w:t>Sveriges ekonomiska relationer med Kuba</w:t>
      </w:r>
    </w:p>
    <w:p w14:paraId="1314F6DC" w14:textId="77777777" w:rsidR="00E64AF8" w:rsidRPr="00B60DDF" w:rsidRDefault="00E64AF8" w:rsidP="00E30DAE">
      <w:pPr>
        <w:spacing w:line="276" w:lineRule="auto"/>
        <w:jc w:val="both"/>
        <w:rPr>
          <w:rFonts w:ascii="Garamond" w:hAnsi="Garamond"/>
          <w:sz w:val="24"/>
          <w:szCs w:val="24"/>
        </w:rPr>
      </w:pPr>
    </w:p>
    <w:p w14:paraId="160C00C3" w14:textId="77777777" w:rsidR="006B04D4" w:rsidRDefault="00E64AF8" w:rsidP="00E30DAE">
      <w:pPr>
        <w:spacing w:line="276" w:lineRule="auto"/>
        <w:jc w:val="both"/>
        <w:rPr>
          <w:rFonts w:ascii="Garamond" w:hAnsi="Garamond"/>
          <w:sz w:val="24"/>
          <w:szCs w:val="24"/>
        </w:rPr>
      </w:pPr>
      <w:r w:rsidRPr="00B60DDF">
        <w:rPr>
          <w:rFonts w:ascii="Garamond" w:hAnsi="Garamond"/>
          <w:sz w:val="24"/>
          <w:szCs w:val="24"/>
        </w:rPr>
        <w:t xml:space="preserve">De ekonomiska och handelspolitiska relationerna mellan Kuba och Sverige är begränsade. Handelsutbytet har under de senaste åren ökat, om än från låga nivåer. För närvarande finns en handfull svenska företag representerade på Kuba. Till dessa hör handelshuset Elof Hansson AB (representerar </w:t>
      </w:r>
      <w:proofErr w:type="gramStart"/>
      <w:r w:rsidRPr="00B60DDF">
        <w:rPr>
          <w:rFonts w:ascii="Garamond" w:hAnsi="Garamond"/>
          <w:sz w:val="24"/>
          <w:szCs w:val="24"/>
        </w:rPr>
        <w:t>bl.a.</w:t>
      </w:r>
      <w:proofErr w:type="gramEnd"/>
      <w:r w:rsidRPr="00B60DDF">
        <w:rPr>
          <w:rFonts w:ascii="Garamond" w:hAnsi="Garamond"/>
          <w:sz w:val="24"/>
          <w:szCs w:val="24"/>
        </w:rPr>
        <w:t xml:space="preserve"> Atlas Copco vad gäller nickel- och stålindustri, Alfa Laval i olje-, socker- och livsmedelsindustri), Volvo Construction Equipment (maskiner till </w:t>
      </w:r>
      <w:proofErr w:type="spellStart"/>
      <w:r w:rsidRPr="00B60DDF">
        <w:rPr>
          <w:rFonts w:ascii="Garamond" w:hAnsi="Garamond"/>
          <w:sz w:val="24"/>
          <w:szCs w:val="24"/>
        </w:rPr>
        <w:t>nickelindustrin</w:t>
      </w:r>
      <w:proofErr w:type="spellEnd"/>
      <w:r w:rsidRPr="00B60DDF">
        <w:rPr>
          <w:rFonts w:ascii="Garamond" w:hAnsi="Garamond"/>
          <w:sz w:val="24"/>
          <w:szCs w:val="24"/>
        </w:rPr>
        <w:t xml:space="preserve"> och byggnadssektorn), Ericsson (telefoni, GSM-nätutbyggnad), De Laval (utrustning till mjölkproduktion), Tetra Pak (förpackningsindustrin), Sandvik (maskiner och utrustning till gruvindustri och byggnadssektorn), och Astra Zeneca</w:t>
      </w:r>
      <w:r w:rsidR="006B04D4">
        <w:rPr>
          <w:rFonts w:ascii="Garamond" w:hAnsi="Garamond"/>
          <w:sz w:val="24"/>
          <w:szCs w:val="24"/>
        </w:rPr>
        <w:t xml:space="preserve"> (läkemedel)</w:t>
      </w:r>
      <w:r w:rsidRPr="00B60DDF">
        <w:rPr>
          <w:rFonts w:ascii="Garamond" w:hAnsi="Garamond"/>
          <w:sz w:val="24"/>
          <w:szCs w:val="24"/>
        </w:rPr>
        <w:t xml:space="preserve">. </w:t>
      </w:r>
      <w:r w:rsidR="006B04D4" w:rsidRPr="006B04D4">
        <w:rPr>
          <w:rFonts w:ascii="Garamond" w:hAnsi="Garamond"/>
          <w:sz w:val="24"/>
          <w:szCs w:val="24"/>
        </w:rPr>
        <w:t xml:space="preserve">Det svenska företaget </w:t>
      </w:r>
      <w:proofErr w:type="spellStart"/>
      <w:r w:rsidR="006B04D4" w:rsidRPr="006B04D4">
        <w:rPr>
          <w:rFonts w:ascii="Garamond" w:hAnsi="Garamond"/>
          <w:sz w:val="24"/>
          <w:szCs w:val="24"/>
        </w:rPr>
        <w:t>Keyplants</w:t>
      </w:r>
      <w:proofErr w:type="spellEnd"/>
      <w:r w:rsidR="006B04D4" w:rsidRPr="006B04D4">
        <w:rPr>
          <w:rFonts w:ascii="Garamond" w:hAnsi="Garamond"/>
          <w:sz w:val="24"/>
          <w:szCs w:val="24"/>
        </w:rPr>
        <w:t xml:space="preserve"> som levererar nyckelfärdiga läkemedelsfabriker är aktivt i frihandelszonen i </w:t>
      </w:r>
      <w:proofErr w:type="spellStart"/>
      <w:r w:rsidR="006B04D4" w:rsidRPr="006B04D4">
        <w:rPr>
          <w:rFonts w:ascii="Garamond" w:hAnsi="Garamond"/>
          <w:sz w:val="24"/>
          <w:szCs w:val="24"/>
        </w:rPr>
        <w:t>Mariel</w:t>
      </w:r>
      <w:proofErr w:type="spellEnd"/>
      <w:r w:rsidR="006B04D4">
        <w:rPr>
          <w:rFonts w:ascii="Garamond" w:hAnsi="Garamond"/>
          <w:sz w:val="24"/>
          <w:szCs w:val="24"/>
        </w:rPr>
        <w:t xml:space="preserve">. </w:t>
      </w:r>
      <w:r w:rsidR="006B04D4" w:rsidRPr="006B04D4">
        <w:rPr>
          <w:rFonts w:ascii="Garamond" w:hAnsi="Garamond"/>
          <w:sz w:val="24"/>
          <w:szCs w:val="24"/>
        </w:rPr>
        <w:t xml:space="preserve"> </w:t>
      </w:r>
    </w:p>
    <w:p w14:paraId="5D0450E5" w14:textId="77777777" w:rsidR="006B04D4" w:rsidRDefault="006B04D4" w:rsidP="00E30DAE">
      <w:pPr>
        <w:spacing w:line="276" w:lineRule="auto"/>
        <w:jc w:val="both"/>
        <w:rPr>
          <w:rFonts w:ascii="Garamond" w:hAnsi="Garamond"/>
          <w:sz w:val="24"/>
          <w:szCs w:val="24"/>
        </w:rPr>
      </w:pPr>
    </w:p>
    <w:p w14:paraId="264F1EC1" w14:textId="09A03D35" w:rsidR="00E64AF8" w:rsidRPr="00B60DDF" w:rsidRDefault="00E64AF8" w:rsidP="00E30DAE">
      <w:pPr>
        <w:spacing w:line="276" w:lineRule="auto"/>
        <w:jc w:val="both"/>
        <w:rPr>
          <w:rFonts w:ascii="Garamond" w:hAnsi="Garamond"/>
          <w:sz w:val="24"/>
          <w:szCs w:val="24"/>
        </w:rPr>
      </w:pPr>
      <w:r w:rsidRPr="00B60DDF">
        <w:rPr>
          <w:rFonts w:ascii="Garamond" w:hAnsi="Garamond"/>
          <w:sz w:val="24"/>
          <w:szCs w:val="24"/>
        </w:rPr>
        <w:t>De svenska företagen är väletablerade som viktiga leverantörer till nyckelsektorer inom den kubanska ekonomin</w:t>
      </w:r>
      <w:r w:rsidR="00BD207D">
        <w:rPr>
          <w:rFonts w:ascii="Garamond" w:hAnsi="Garamond"/>
          <w:sz w:val="24"/>
          <w:szCs w:val="24"/>
        </w:rPr>
        <w:t>.</w:t>
      </w:r>
      <w:r w:rsidR="006B04D4">
        <w:rPr>
          <w:rFonts w:ascii="Garamond" w:hAnsi="Garamond"/>
          <w:sz w:val="24"/>
          <w:szCs w:val="24"/>
        </w:rPr>
        <w:t xml:space="preserve"> </w:t>
      </w:r>
    </w:p>
    <w:p w14:paraId="445B9ADE" w14:textId="77777777" w:rsidR="00E64AF8" w:rsidRPr="00B60DDF" w:rsidRDefault="00E64AF8" w:rsidP="00E30DAE">
      <w:pPr>
        <w:spacing w:line="276" w:lineRule="auto"/>
        <w:jc w:val="both"/>
        <w:rPr>
          <w:rFonts w:ascii="Garamond" w:hAnsi="Garamond"/>
          <w:sz w:val="24"/>
          <w:szCs w:val="24"/>
        </w:rPr>
      </w:pPr>
    </w:p>
    <w:p w14:paraId="09511ECD" w14:textId="51E42707" w:rsidR="00E64AF8" w:rsidRDefault="00E64AF8" w:rsidP="00E30DAE">
      <w:pPr>
        <w:spacing w:line="276" w:lineRule="auto"/>
        <w:jc w:val="both"/>
        <w:rPr>
          <w:rFonts w:ascii="Garamond" w:hAnsi="Garamond"/>
          <w:sz w:val="24"/>
          <w:szCs w:val="24"/>
        </w:rPr>
      </w:pPr>
      <w:r w:rsidRPr="00B60DDF">
        <w:rPr>
          <w:rFonts w:ascii="Garamond" w:hAnsi="Garamond"/>
          <w:sz w:val="24"/>
          <w:szCs w:val="24"/>
        </w:rPr>
        <w:t xml:space="preserve">Enligt </w:t>
      </w:r>
      <w:r>
        <w:rPr>
          <w:rFonts w:ascii="Garamond" w:hAnsi="Garamond"/>
          <w:sz w:val="24"/>
          <w:szCs w:val="24"/>
        </w:rPr>
        <w:t xml:space="preserve">SCB </w:t>
      </w:r>
      <w:r w:rsidRPr="00B60DDF">
        <w:rPr>
          <w:rFonts w:ascii="Garamond" w:hAnsi="Garamond"/>
          <w:sz w:val="24"/>
          <w:szCs w:val="24"/>
        </w:rPr>
        <w:t xml:space="preserve">omfattade den svenska exporten till Kuba totalt </w:t>
      </w:r>
      <w:r>
        <w:rPr>
          <w:rFonts w:ascii="Garamond" w:hAnsi="Garamond"/>
          <w:sz w:val="24"/>
          <w:szCs w:val="24"/>
        </w:rPr>
        <w:t>333</w:t>
      </w:r>
      <w:r w:rsidRPr="00B60DDF">
        <w:rPr>
          <w:rFonts w:ascii="Garamond" w:hAnsi="Garamond"/>
          <w:sz w:val="24"/>
          <w:szCs w:val="24"/>
        </w:rPr>
        <w:t xml:space="preserve"> miljoner SEK under </w:t>
      </w:r>
      <w:r>
        <w:rPr>
          <w:rFonts w:ascii="Garamond" w:hAnsi="Garamond"/>
          <w:sz w:val="24"/>
          <w:szCs w:val="24"/>
        </w:rPr>
        <w:t>2019</w:t>
      </w:r>
      <w:r w:rsidRPr="00B60DDF">
        <w:rPr>
          <w:rFonts w:ascii="Garamond" w:hAnsi="Garamond"/>
          <w:sz w:val="24"/>
          <w:szCs w:val="24"/>
        </w:rPr>
        <w:t xml:space="preserve">. Exporten utgörs främst av maskin- och verkstadsprodukter, halvfabrikat och kemikalier, apparater för telekommunikation och transportutrustning. Den svenska importen från Kuba </w:t>
      </w:r>
      <w:r>
        <w:rPr>
          <w:rFonts w:ascii="Garamond" w:hAnsi="Garamond"/>
          <w:sz w:val="24"/>
          <w:szCs w:val="24"/>
        </w:rPr>
        <w:t xml:space="preserve">2019 </w:t>
      </w:r>
      <w:r w:rsidRPr="00B60DDF">
        <w:rPr>
          <w:rFonts w:ascii="Garamond" w:hAnsi="Garamond"/>
          <w:sz w:val="24"/>
          <w:szCs w:val="24"/>
        </w:rPr>
        <w:t xml:space="preserve">uppgick till </w:t>
      </w:r>
      <w:r>
        <w:rPr>
          <w:rFonts w:ascii="Garamond" w:hAnsi="Garamond"/>
          <w:sz w:val="24"/>
          <w:szCs w:val="24"/>
        </w:rPr>
        <w:t>33</w:t>
      </w:r>
      <w:r w:rsidRPr="00B60DDF">
        <w:rPr>
          <w:rFonts w:ascii="Garamond" w:hAnsi="Garamond"/>
          <w:sz w:val="24"/>
          <w:szCs w:val="24"/>
        </w:rPr>
        <w:t xml:space="preserve"> miljoner SEK. Sverige importerar främst malm, tobak, maskin- och verkstadsprodukter och apparater för telekommunikation. Sveriges export till Kuba har under det senaste året </w:t>
      </w:r>
      <w:r>
        <w:rPr>
          <w:rFonts w:ascii="Garamond" w:hAnsi="Garamond"/>
          <w:sz w:val="24"/>
          <w:szCs w:val="24"/>
        </w:rPr>
        <w:t>minskat</w:t>
      </w:r>
      <w:r w:rsidRPr="00B60DDF">
        <w:rPr>
          <w:rFonts w:ascii="Garamond" w:hAnsi="Garamond"/>
          <w:sz w:val="24"/>
          <w:szCs w:val="24"/>
        </w:rPr>
        <w:t xml:space="preserve">, medan Kubas export till Sverige har </w:t>
      </w:r>
      <w:r>
        <w:rPr>
          <w:rFonts w:ascii="Garamond" w:hAnsi="Garamond"/>
          <w:sz w:val="24"/>
          <w:szCs w:val="24"/>
        </w:rPr>
        <w:t>ökat</w:t>
      </w:r>
      <w:r w:rsidRPr="00B60DDF">
        <w:rPr>
          <w:rFonts w:ascii="Garamond" w:hAnsi="Garamond"/>
          <w:sz w:val="24"/>
          <w:szCs w:val="24"/>
        </w:rPr>
        <w:t xml:space="preserve">. </w:t>
      </w:r>
    </w:p>
    <w:p w14:paraId="38BA2B15" w14:textId="5913A1EA" w:rsidR="00E30DAE" w:rsidRDefault="00E30DAE" w:rsidP="00E30DAE">
      <w:pPr>
        <w:spacing w:line="276" w:lineRule="auto"/>
        <w:jc w:val="both"/>
        <w:rPr>
          <w:rFonts w:ascii="Garamond" w:hAnsi="Garamond"/>
          <w:sz w:val="24"/>
          <w:szCs w:val="24"/>
        </w:rPr>
      </w:pPr>
    </w:p>
    <w:p w14:paraId="61376D51" w14:textId="26699811" w:rsidR="00E30DAE" w:rsidRDefault="00E30DAE" w:rsidP="00E30DAE">
      <w:pPr>
        <w:spacing w:line="276" w:lineRule="auto"/>
        <w:jc w:val="both"/>
        <w:rPr>
          <w:rFonts w:ascii="Garamond" w:hAnsi="Garamond"/>
          <w:sz w:val="24"/>
          <w:szCs w:val="24"/>
        </w:rPr>
      </w:pPr>
    </w:p>
    <w:p w14:paraId="6F5FAF52" w14:textId="113EFBA2" w:rsidR="00F32CA5" w:rsidRPr="0004746C" w:rsidRDefault="00F32CA5" w:rsidP="00E30DAE">
      <w:pPr>
        <w:spacing w:line="276" w:lineRule="auto"/>
        <w:jc w:val="both"/>
        <w:rPr>
          <w:rFonts w:ascii="Garamond" w:hAnsi="Garamond"/>
          <w:sz w:val="24"/>
          <w:szCs w:val="24"/>
        </w:rPr>
      </w:pPr>
      <w:bookmarkStart w:id="34" w:name="_GoBack"/>
      <w:bookmarkEnd w:id="34"/>
    </w:p>
    <w:sectPr w:rsidR="00F32CA5" w:rsidRPr="0004746C">
      <w:headerReference w:type="default" r:id="rId9"/>
      <w:footerReference w:type="default" r:id="rId10"/>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6BB6" w14:textId="77777777" w:rsidR="00A31EF6" w:rsidRDefault="00A31EF6">
      <w:r>
        <w:separator/>
      </w:r>
    </w:p>
  </w:endnote>
  <w:endnote w:type="continuationSeparator" w:id="0">
    <w:p w14:paraId="3FF461DF" w14:textId="77777777" w:rsidR="00A31EF6" w:rsidRDefault="00A3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0447" w14:textId="77777777" w:rsidR="00CF7D01" w:rsidRDefault="00CF7D01">
    <w:pPr>
      <w:pStyle w:val="Footer"/>
      <w:spacing w:line="160" w:lineRule="exact"/>
      <w:rPr>
        <w:rFonts w:ascii="TradeGothic" w:hAnsi="Trade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15D8" w14:textId="77777777" w:rsidR="00A31EF6" w:rsidRDefault="00A31EF6">
      <w:r>
        <w:separator/>
      </w:r>
    </w:p>
  </w:footnote>
  <w:footnote w:type="continuationSeparator" w:id="0">
    <w:p w14:paraId="729E1497" w14:textId="77777777" w:rsidR="00A31EF6" w:rsidRDefault="00A31EF6">
      <w:r>
        <w:continuationSeparator/>
      </w:r>
    </w:p>
  </w:footnote>
  <w:footnote w:id="1">
    <w:p w14:paraId="738F91F3" w14:textId="77777777" w:rsidR="00E64AF8" w:rsidRPr="00B512DB" w:rsidRDefault="00E64AF8" w:rsidP="00E64AF8">
      <w:pPr>
        <w:pStyle w:val="FootnoteText"/>
        <w:rPr>
          <w:rFonts w:ascii="Garamond" w:hAnsi="Garamond"/>
        </w:rPr>
      </w:pPr>
      <w:r w:rsidRPr="00B512DB">
        <w:rPr>
          <w:rStyle w:val="FootnoteReference"/>
          <w:rFonts w:ascii="Garamond" w:hAnsi="Garamond"/>
        </w:rPr>
        <w:footnoteRef/>
      </w:r>
      <w:r w:rsidRPr="00B512DB">
        <w:rPr>
          <w:rFonts w:ascii="Garamond" w:hAnsi="Garamond"/>
        </w:rPr>
        <w:t xml:space="preserve"> Den kubanska statistiska centralbyrån (ONE) räknar in fri undervisning och hälsovård samt exporten av kubansk hälsovård och annan service i beräkningar av landets BNP.  </w:t>
      </w:r>
    </w:p>
  </w:footnote>
  <w:footnote w:id="2">
    <w:p w14:paraId="65DF1EF8" w14:textId="77777777" w:rsidR="00E64AF8" w:rsidRPr="00B512DB" w:rsidRDefault="00E64AF8" w:rsidP="00E64AF8">
      <w:pPr>
        <w:pStyle w:val="FootnoteText"/>
        <w:rPr>
          <w:rFonts w:ascii="Garamond" w:hAnsi="Garamond"/>
        </w:rPr>
      </w:pPr>
      <w:r w:rsidRPr="00B512DB">
        <w:rPr>
          <w:rStyle w:val="FootnoteReference"/>
          <w:rFonts w:ascii="Garamond" w:hAnsi="Garamond"/>
        </w:rPr>
        <w:footnoteRef/>
      </w:r>
      <w:r w:rsidRPr="00B512DB">
        <w:rPr>
          <w:rFonts w:ascii="Garamond" w:hAnsi="Garamond"/>
        </w:rPr>
        <w:t xml:space="preserve"> En informell sammanslutning av borgenärsländer som träffas regelbundet i Paris för att gemensamt förhandla ett ramavtal med ett gäldenärsland som har fått så stora betalningsproblem att det inte längre kan honorera sina åtaganden.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0D20" w14:textId="5613919B" w:rsidR="00CF7D01" w:rsidRDefault="00CF7D01">
    <w:pPr>
      <w:pStyle w:val="Header"/>
      <w:tabs>
        <w:tab w:val="clear" w:pos="4320"/>
        <w:tab w:val="clear" w:pos="8640"/>
        <w:tab w:val="left" w:pos="3799"/>
        <w:tab w:val="left" w:pos="7229"/>
        <w:tab w:val="right" w:pos="8448"/>
      </w:tabs>
      <w:ind w:left="-1418" w:right="-947"/>
      <w:rPr>
        <w:rFonts w:ascii="Garamond" w:hAnsi="Garamond"/>
        <w:sz w:val="22"/>
      </w:rPr>
    </w:pPr>
    <w:bookmarkStart w:id="35" w:name="UDsidan2"/>
    <w:bookmarkEnd w:id="35"/>
    <w:r>
      <w:rPr>
        <w:rFonts w:ascii="Garamond" w:hAnsi="Garamond"/>
      </w:rPr>
      <w:tab/>
    </w:r>
    <w:bookmarkStart w:id="36" w:name="UDsidan2doknamn"/>
    <w:bookmarkEnd w:id="36"/>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591D4C">
      <w:rPr>
        <w:rFonts w:ascii="Garamond" w:hAnsi="Garamond"/>
        <w:noProof/>
        <w:sz w:val="22"/>
      </w:rPr>
      <w:t>12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591D4C">
      <w:rPr>
        <w:rFonts w:ascii="Garamond" w:hAnsi="Garamond"/>
        <w:noProof/>
        <w:sz w:val="22"/>
      </w:rPr>
      <w:t>12</w:t>
    </w:r>
    <w:r>
      <w:rPr>
        <w:rFonts w:ascii="Garamond" w:hAnsi="Garamond"/>
        <w:sz w:val="22"/>
      </w:rPr>
      <w:fldChar w:fldCharType="end"/>
    </w:r>
    <w:r>
      <w:rPr>
        <w:rFonts w:ascii="Garamond" w:hAnsi="Garamond"/>
        <w:sz w:val="22"/>
      </w:rPr>
      <w:t>)</w:t>
    </w:r>
  </w:p>
  <w:p w14:paraId="28714105" w14:textId="77777777" w:rsidR="00CF7D01" w:rsidRDefault="00CF7D01">
    <w:pPr>
      <w:pStyle w:val="Header"/>
      <w:tabs>
        <w:tab w:val="clear" w:pos="4320"/>
        <w:tab w:val="clear" w:pos="8640"/>
        <w:tab w:val="left" w:pos="3799"/>
        <w:tab w:val="left" w:pos="7229"/>
        <w:tab w:val="right" w:pos="8448"/>
      </w:tabs>
      <w:ind w:left="-1418" w:right="-947"/>
      <w:rPr>
        <w:rFonts w:ascii="Garamond" w:hAnsi="Garamond"/>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70F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D16EE"/>
    <w:multiLevelType w:val="hybridMultilevel"/>
    <w:tmpl w:val="ED84A9C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6F735F84"/>
    <w:multiLevelType w:val="hybridMultilevel"/>
    <w:tmpl w:val="5C26954A"/>
    <w:lvl w:ilvl="0" w:tplc="3E7EB5DC">
      <w:numFmt w:val="bullet"/>
      <w:lvlText w:val="-"/>
      <w:lvlJc w:val="left"/>
      <w:pPr>
        <w:ind w:left="720" w:hanging="360"/>
      </w:pPr>
      <w:rPr>
        <w:rFonts w:ascii="OrigGarmnd BT" w:eastAsiaTheme="minorHAnsi"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6827C1"/>
    <w:multiLevelType w:val="hybridMultilevel"/>
    <w:tmpl w:val="879A8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00"/>
    <w:rsid w:val="0000301D"/>
    <w:rsid w:val="00003AEC"/>
    <w:rsid w:val="00003D82"/>
    <w:rsid w:val="0000595F"/>
    <w:rsid w:val="0001100D"/>
    <w:rsid w:val="000157F9"/>
    <w:rsid w:val="00026EB3"/>
    <w:rsid w:val="00026FFA"/>
    <w:rsid w:val="00027B9C"/>
    <w:rsid w:val="00035E4C"/>
    <w:rsid w:val="00036BC7"/>
    <w:rsid w:val="000379AF"/>
    <w:rsid w:val="00041113"/>
    <w:rsid w:val="00046DBF"/>
    <w:rsid w:val="0004746C"/>
    <w:rsid w:val="00055874"/>
    <w:rsid w:val="0006055B"/>
    <w:rsid w:val="00062AF3"/>
    <w:rsid w:val="00062F3B"/>
    <w:rsid w:val="00063B29"/>
    <w:rsid w:val="00063E47"/>
    <w:rsid w:val="00064A22"/>
    <w:rsid w:val="00067E36"/>
    <w:rsid w:val="00067FDC"/>
    <w:rsid w:val="0007021F"/>
    <w:rsid w:val="0007035C"/>
    <w:rsid w:val="00071D5D"/>
    <w:rsid w:val="00083D1A"/>
    <w:rsid w:val="00086A01"/>
    <w:rsid w:val="00093E62"/>
    <w:rsid w:val="0009741B"/>
    <w:rsid w:val="0009796A"/>
    <w:rsid w:val="000A0B17"/>
    <w:rsid w:val="000A1024"/>
    <w:rsid w:val="000A39A8"/>
    <w:rsid w:val="000A4E43"/>
    <w:rsid w:val="000A5653"/>
    <w:rsid w:val="000A66BC"/>
    <w:rsid w:val="000B0288"/>
    <w:rsid w:val="000B17A8"/>
    <w:rsid w:val="000B371C"/>
    <w:rsid w:val="000B48F3"/>
    <w:rsid w:val="000C0BF3"/>
    <w:rsid w:val="000C396F"/>
    <w:rsid w:val="000C61C6"/>
    <w:rsid w:val="000C7B3B"/>
    <w:rsid w:val="000D18D6"/>
    <w:rsid w:val="000D20C2"/>
    <w:rsid w:val="000D52E7"/>
    <w:rsid w:val="000D656E"/>
    <w:rsid w:val="000E4ECF"/>
    <w:rsid w:val="000E5E84"/>
    <w:rsid w:val="000F0F41"/>
    <w:rsid w:val="000F2AC2"/>
    <w:rsid w:val="000F38E4"/>
    <w:rsid w:val="000F440C"/>
    <w:rsid w:val="000F57EA"/>
    <w:rsid w:val="0010329F"/>
    <w:rsid w:val="0010604D"/>
    <w:rsid w:val="00106634"/>
    <w:rsid w:val="00120FF7"/>
    <w:rsid w:val="0012475D"/>
    <w:rsid w:val="00126DEB"/>
    <w:rsid w:val="00130468"/>
    <w:rsid w:val="00130C0C"/>
    <w:rsid w:val="00137DA3"/>
    <w:rsid w:val="00141518"/>
    <w:rsid w:val="00144F60"/>
    <w:rsid w:val="00145C32"/>
    <w:rsid w:val="00145E45"/>
    <w:rsid w:val="00146BE7"/>
    <w:rsid w:val="00146C85"/>
    <w:rsid w:val="00147EE6"/>
    <w:rsid w:val="00150232"/>
    <w:rsid w:val="00151FD8"/>
    <w:rsid w:val="001540E8"/>
    <w:rsid w:val="00154180"/>
    <w:rsid w:val="001609FB"/>
    <w:rsid w:val="0016206D"/>
    <w:rsid w:val="001700CB"/>
    <w:rsid w:val="00170A9C"/>
    <w:rsid w:val="0017102F"/>
    <w:rsid w:val="00171620"/>
    <w:rsid w:val="0017775B"/>
    <w:rsid w:val="00192724"/>
    <w:rsid w:val="00194A13"/>
    <w:rsid w:val="0019595A"/>
    <w:rsid w:val="0019654D"/>
    <w:rsid w:val="001A02F7"/>
    <w:rsid w:val="001A4218"/>
    <w:rsid w:val="001A5B8D"/>
    <w:rsid w:val="001A5EEF"/>
    <w:rsid w:val="001B04F4"/>
    <w:rsid w:val="001B13CA"/>
    <w:rsid w:val="001B38B5"/>
    <w:rsid w:val="001B401F"/>
    <w:rsid w:val="001C032A"/>
    <w:rsid w:val="001C38B5"/>
    <w:rsid w:val="001D01F3"/>
    <w:rsid w:val="001D0E80"/>
    <w:rsid w:val="001D15DC"/>
    <w:rsid w:val="001D20FE"/>
    <w:rsid w:val="001D6102"/>
    <w:rsid w:val="001E0D4C"/>
    <w:rsid w:val="001E402D"/>
    <w:rsid w:val="001E5167"/>
    <w:rsid w:val="001E7E43"/>
    <w:rsid w:val="001F4026"/>
    <w:rsid w:val="00200126"/>
    <w:rsid w:val="0020709A"/>
    <w:rsid w:val="00207DE8"/>
    <w:rsid w:val="00214AF8"/>
    <w:rsid w:val="00215334"/>
    <w:rsid w:val="002212D6"/>
    <w:rsid w:val="00221D8D"/>
    <w:rsid w:val="00222C81"/>
    <w:rsid w:val="00223273"/>
    <w:rsid w:val="002233E2"/>
    <w:rsid w:val="00227F28"/>
    <w:rsid w:val="0023639D"/>
    <w:rsid w:val="0023731C"/>
    <w:rsid w:val="00237695"/>
    <w:rsid w:val="00243076"/>
    <w:rsid w:val="00244212"/>
    <w:rsid w:val="00244AD8"/>
    <w:rsid w:val="0026056E"/>
    <w:rsid w:val="002616A9"/>
    <w:rsid w:val="00261D6E"/>
    <w:rsid w:val="00262EA6"/>
    <w:rsid w:val="00263B12"/>
    <w:rsid w:val="002745DA"/>
    <w:rsid w:val="00285916"/>
    <w:rsid w:val="00285AC6"/>
    <w:rsid w:val="0028710E"/>
    <w:rsid w:val="00287EF7"/>
    <w:rsid w:val="002920D3"/>
    <w:rsid w:val="0029331B"/>
    <w:rsid w:val="002B63D8"/>
    <w:rsid w:val="002B74B4"/>
    <w:rsid w:val="002C16AD"/>
    <w:rsid w:val="002C1C9C"/>
    <w:rsid w:val="002C5308"/>
    <w:rsid w:val="002D21E4"/>
    <w:rsid w:val="002E15DB"/>
    <w:rsid w:val="002E246A"/>
    <w:rsid w:val="002E7FD4"/>
    <w:rsid w:val="002F14A4"/>
    <w:rsid w:val="002F3591"/>
    <w:rsid w:val="002F4E1D"/>
    <w:rsid w:val="00307849"/>
    <w:rsid w:val="00313F87"/>
    <w:rsid w:val="00317D73"/>
    <w:rsid w:val="00323092"/>
    <w:rsid w:val="00323216"/>
    <w:rsid w:val="00324032"/>
    <w:rsid w:val="00326F81"/>
    <w:rsid w:val="003320FC"/>
    <w:rsid w:val="00333147"/>
    <w:rsid w:val="0033316A"/>
    <w:rsid w:val="003335AE"/>
    <w:rsid w:val="00334DC1"/>
    <w:rsid w:val="0034024D"/>
    <w:rsid w:val="00343018"/>
    <w:rsid w:val="00346FD8"/>
    <w:rsid w:val="003477C0"/>
    <w:rsid w:val="00351E31"/>
    <w:rsid w:val="00352E37"/>
    <w:rsid w:val="00353EAB"/>
    <w:rsid w:val="0035401E"/>
    <w:rsid w:val="003549D6"/>
    <w:rsid w:val="00355EEA"/>
    <w:rsid w:val="00357B1C"/>
    <w:rsid w:val="00361E0D"/>
    <w:rsid w:val="003620CF"/>
    <w:rsid w:val="00367476"/>
    <w:rsid w:val="00371E92"/>
    <w:rsid w:val="00371FCA"/>
    <w:rsid w:val="00373107"/>
    <w:rsid w:val="00380C62"/>
    <w:rsid w:val="00387AA3"/>
    <w:rsid w:val="00391098"/>
    <w:rsid w:val="00391E2B"/>
    <w:rsid w:val="003A009E"/>
    <w:rsid w:val="003B1BC5"/>
    <w:rsid w:val="003B43C7"/>
    <w:rsid w:val="003B6B4A"/>
    <w:rsid w:val="003D0FBB"/>
    <w:rsid w:val="003D34A5"/>
    <w:rsid w:val="003E28CD"/>
    <w:rsid w:val="003E3B87"/>
    <w:rsid w:val="003E51D8"/>
    <w:rsid w:val="003F0E34"/>
    <w:rsid w:val="003F1E33"/>
    <w:rsid w:val="003F2703"/>
    <w:rsid w:val="003F3785"/>
    <w:rsid w:val="003F69A0"/>
    <w:rsid w:val="004031C4"/>
    <w:rsid w:val="0040386C"/>
    <w:rsid w:val="0040751B"/>
    <w:rsid w:val="004120A0"/>
    <w:rsid w:val="00415FD6"/>
    <w:rsid w:val="00417508"/>
    <w:rsid w:val="00420E34"/>
    <w:rsid w:val="00423553"/>
    <w:rsid w:val="00425427"/>
    <w:rsid w:val="0043022E"/>
    <w:rsid w:val="0043199D"/>
    <w:rsid w:val="00434AF2"/>
    <w:rsid w:val="00436850"/>
    <w:rsid w:val="004407E5"/>
    <w:rsid w:val="004436FD"/>
    <w:rsid w:val="00444D78"/>
    <w:rsid w:val="004468B1"/>
    <w:rsid w:val="004476E9"/>
    <w:rsid w:val="004478B4"/>
    <w:rsid w:val="00450667"/>
    <w:rsid w:val="004515EC"/>
    <w:rsid w:val="00452A79"/>
    <w:rsid w:val="00456755"/>
    <w:rsid w:val="00460271"/>
    <w:rsid w:val="00464053"/>
    <w:rsid w:val="00465E30"/>
    <w:rsid w:val="00466442"/>
    <w:rsid w:val="0047314C"/>
    <w:rsid w:val="00473C49"/>
    <w:rsid w:val="00473CD3"/>
    <w:rsid w:val="004761F3"/>
    <w:rsid w:val="00480B8F"/>
    <w:rsid w:val="00481702"/>
    <w:rsid w:val="004818FB"/>
    <w:rsid w:val="004839DE"/>
    <w:rsid w:val="00485A8A"/>
    <w:rsid w:val="00492269"/>
    <w:rsid w:val="00492FBF"/>
    <w:rsid w:val="0049436F"/>
    <w:rsid w:val="004952BF"/>
    <w:rsid w:val="0049578A"/>
    <w:rsid w:val="00495A14"/>
    <w:rsid w:val="004969D3"/>
    <w:rsid w:val="00497A12"/>
    <w:rsid w:val="004A516A"/>
    <w:rsid w:val="004B2123"/>
    <w:rsid w:val="004C3E33"/>
    <w:rsid w:val="004C4471"/>
    <w:rsid w:val="004C7AF4"/>
    <w:rsid w:val="004D4352"/>
    <w:rsid w:val="004E04B6"/>
    <w:rsid w:val="004E2DE0"/>
    <w:rsid w:val="004E55E3"/>
    <w:rsid w:val="004F3AA4"/>
    <w:rsid w:val="004F3FEE"/>
    <w:rsid w:val="004F6537"/>
    <w:rsid w:val="004F706D"/>
    <w:rsid w:val="00502EC5"/>
    <w:rsid w:val="00511211"/>
    <w:rsid w:val="005138D8"/>
    <w:rsid w:val="005153A9"/>
    <w:rsid w:val="00522048"/>
    <w:rsid w:val="00523F6E"/>
    <w:rsid w:val="00525FA4"/>
    <w:rsid w:val="005305BB"/>
    <w:rsid w:val="00531FF9"/>
    <w:rsid w:val="0053256F"/>
    <w:rsid w:val="005364EF"/>
    <w:rsid w:val="00541C93"/>
    <w:rsid w:val="00542F58"/>
    <w:rsid w:val="00547306"/>
    <w:rsid w:val="00553757"/>
    <w:rsid w:val="0055702A"/>
    <w:rsid w:val="00557CCA"/>
    <w:rsid w:val="00560111"/>
    <w:rsid w:val="00562254"/>
    <w:rsid w:val="005650E1"/>
    <w:rsid w:val="00567072"/>
    <w:rsid w:val="00577210"/>
    <w:rsid w:val="0057726D"/>
    <w:rsid w:val="005826C1"/>
    <w:rsid w:val="0058339C"/>
    <w:rsid w:val="00587438"/>
    <w:rsid w:val="005914FE"/>
    <w:rsid w:val="00591BFC"/>
    <w:rsid w:val="00591D4C"/>
    <w:rsid w:val="00592A5B"/>
    <w:rsid w:val="00597359"/>
    <w:rsid w:val="005A4D86"/>
    <w:rsid w:val="005A511B"/>
    <w:rsid w:val="005A6118"/>
    <w:rsid w:val="005A774E"/>
    <w:rsid w:val="005B18C6"/>
    <w:rsid w:val="005B3113"/>
    <w:rsid w:val="005B5227"/>
    <w:rsid w:val="005B56D5"/>
    <w:rsid w:val="005B61AD"/>
    <w:rsid w:val="005C04AA"/>
    <w:rsid w:val="005C4440"/>
    <w:rsid w:val="005D2897"/>
    <w:rsid w:val="005D356E"/>
    <w:rsid w:val="005D4A9A"/>
    <w:rsid w:val="005E2C1B"/>
    <w:rsid w:val="005E4695"/>
    <w:rsid w:val="005E4D5D"/>
    <w:rsid w:val="005E6249"/>
    <w:rsid w:val="005F186C"/>
    <w:rsid w:val="005F3C4E"/>
    <w:rsid w:val="0060205E"/>
    <w:rsid w:val="006078D8"/>
    <w:rsid w:val="00607BF7"/>
    <w:rsid w:val="006104B1"/>
    <w:rsid w:val="006148D9"/>
    <w:rsid w:val="006162B2"/>
    <w:rsid w:val="00626635"/>
    <w:rsid w:val="00634428"/>
    <w:rsid w:val="00634E40"/>
    <w:rsid w:val="00641BB3"/>
    <w:rsid w:val="0064207A"/>
    <w:rsid w:val="00643AFF"/>
    <w:rsid w:val="006555EA"/>
    <w:rsid w:val="00656335"/>
    <w:rsid w:val="00657923"/>
    <w:rsid w:val="00664225"/>
    <w:rsid w:val="00671AE6"/>
    <w:rsid w:val="00672C15"/>
    <w:rsid w:val="00673763"/>
    <w:rsid w:val="0069052D"/>
    <w:rsid w:val="00692981"/>
    <w:rsid w:val="0069324F"/>
    <w:rsid w:val="0069410B"/>
    <w:rsid w:val="006A0043"/>
    <w:rsid w:val="006A64A1"/>
    <w:rsid w:val="006A6BC6"/>
    <w:rsid w:val="006B04D4"/>
    <w:rsid w:val="006B0F69"/>
    <w:rsid w:val="006D14D3"/>
    <w:rsid w:val="006D19B8"/>
    <w:rsid w:val="006D5DF9"/>
    <w:rsid w:val="006E2CD6"/>
    <w:rsid w:val="006F3659"/>
    <w:rsid w:val="006F4DFC"/>
    <w:rsid w:val="006F7111"/>
    <w:rsid w:val="006F721B"/>
    <w:rsid w:val="006F7663"/>
    <w:rsid w:val="00705E79"/>
    <w:rsid w:val="007061F1"/>
    <w:rsid w:val="00706338"/>
    <w:rsid w:val="00711A12"/>
    <w:rsid w:val="00711F24"/>
    <w:rsid w:val="0071258B"/>
    <w:rsid w:val="00717377"/>
    <w:rsid w:val="007204F4"/>
    <w:rsid w:val="0072094F"/>
    <w:rsid w:val="007220C0"/>
    <w:rsid w:val="0072523F"/>
    <w:rsid w:val="00726E89"/>
    <w:rsid w:val="00730577"/>
    <w:rsid w:val="00731C01"/>
    <w:rsid w:val="007322E6"/>
    <w:rsid w:val="00740420"/>
    <w:rsid w:val="00740C7C"/>
    <w:rsid w:val="007426B9"/>
    <w:rsid w:val="00742B57"/>
    <w:rsid w:val="007454CD"/>
    <w:rsid w:val="0075249C"/>
    <w:rsid w:val="007538B7"/>
    <w:rsid w:val="00757CF7"/>
    <w:rsid w:val="007629FE"/>
    <w:rsid w:val="00763AA4"/>
    <w:rsid w:val="00764E5A"/>
    <w:rsid w:val="00765759"/>
    <w:rsid w:val="0076658E"/>
    <w:rsid w:val="0077592F"/>
    <w:rsid w:val="00775ADB"/>
    <w:rsid w:val="00776AAD"/>
    <w:rsid w:val="00782FA6"/>
    <w:rsid w:val="007968A6"/>
    <w:rsid w:val="007A4F0D"/>
    <w:rsid w:val="007B2A08"/>
    <w:rsid w:val="007D62FE"/>
    <w:rsid w:val="007D6A8A"/>
    <w:rsid w:val="007D73D8"/>
    <w:rsid w:val="007D7BA0"/>
    <w:rsid w:val="007E2AA1"/>
    <w:rsid w:val="007E6357"/>
    <w:rsid w:val="007E7D30"/>
    <w:rsid w:val="007F0D4D"/>
    <w:rsid w:val="007F1B12"/>
    <w:rsid w:val="007F3913"/>
    <w:rsid w:val="0080694F"/>
    <w:rsid w:val="00807A2D"/>
    <w:rsid w:val="00810D0D"/>
    <w:rsid w:val="0081380D"/>
    <w:rsid w:val="00814981"/>
    <w:rsid w:val="00820FAD"/>
    <w:rsid w:val="00830C2F"/>
    <w:rsid w:val="00835F7F"/>
    <w:rsid w:val="00835FCE"/>
    <w:rsid w:val="008419BE"/>
    <w:rsid w:val="008463B7"/>
    <w:rsid w:val="00847D6D"/>
    <w:rsid w:val="00851466"/>
    <w:rsid w:val="00857B9E"/>
    <w:rsid w:val="00860A0C"/>
    <w:rsid w:val="00866B96"/>
    <w:rsid w:val="00866FDD"/>
    <w:rsid w:val="00867B1B"/>
    <w:rsid w:val="00871184"/>
    <w:rsid w:val="00872264"/>
    <w:rsid w:val="008750FA"/>
    <w:rsid w:val="008755EB"/>
    <w:rsid w:val="0088134E"/>
    <w:rsid w:val="00886DEA"/>
    <w:rsid w:val="008917BB"/>
    <w:rsid w:val="00893D05"/>
    <w:rsid w:val="00894390"/>
    <w:rsid w:val="00896AAD"/>
    <w:rsid w:val="008970D2"/>
    <w:rsid w:val="008A2C3B"/>
    <w:rsid w:val="008A3060"/>
    <w:rsid w:val="008A6F27"/>
    <w:rsid w:val="008B3B26"/>
    <w:rsid w:val="008B4223"/>
    <w:rsid w:val="008B623F"/>
    <w:rsid w:val="008B7315"/>
    <w:rsid w:val="008C11F2"/>
    <w:rsid w:val="008C66FB"/>
    <w:rsid w:val="008C6E64"/>
    <w:rsid w:val="008D1AF5"/>
    <w:rsid w:val="008D1CEA"/>
    <w:rsid w:val="008E1F61"/>
    <w:rsid w:val="008E69C1"/>
    <w:rsid w:val="008E6EA6"/>
    <w:rsid w:val="008E7737"/>
    <w:rsid w:val="008F5E1F"/>
    <w:rsid w:val="00901511"/>
    <w:rsid w:val="00902140"/>
    <w:rsid w:val="009032FA"/>
    <w:rsid w:val="009035F2"/>
    <w:rsid w:val="009129B3"/>
    <w:rsid w:val="009318F5"/>
    <w:rsid w:val="00932603"/>
    <w:rsid w:val="009376A3"/>
    <w:rsid w:val="00941758"/>
    <w:rsid w:val="00942AE1"/>
    <w:rsid w:val="00945365"/>
    <w:rsid w:val="00947891"/>
    <w:rsid w:val="009512BA"/>
    <w:rsid w:val="00956D44"/>
    <w:rsid w:val="0096071B"/>
    <w:rsid w:val="00961ACE"/>
    <w:rsid w:val="009648D3"/>
    <w:rsid w:val="0096697E"/>
    <w:rsid w:val="00967028"/>
    <w:rsid w:val="009710E2"/>
    <w:rsid w:val="00973E5C"/>
    <w:rsid w:val="00976CEC"/>
    <w:rsid w:val="009803A8"/>
    <w:rsid w:val="00984A51"/>
    <w:rsid w:val="00990505"/>
    <w:rsid w:val="009959A3"/>
    <w:rsid w:val="00996BE1"/>
    <w:rsid w:val="009A23CE"/>
    <w:rsid w:val="009A3087"/>
    <w:rsid w:val="009A4AE9"/>
    <w:rsid w:val="009A5004"/>
    <w:rsid w:val="009A5EE3"/>
    <w:rsid w:val="009A6F2B"/>
    <w:rsid w:val="009B10C1"/>
    <w:rsid w:val="009B11A9"/>
    <w:rsid w:val="009B1C39"/>
    <w:rsid w:val="009B6E16"/>
    <w:rsid w:val="009C0919"/>
    <w:rsid w:val="009C1A50"/>
    <w:rsid w:val="009C3215"/>
    <w:rsid w:val="009D08B7"/>
    <w:rsid w:val="009D3B63"/>
    <w:rsid w:val="009D469F"/>
    <w:rsid w:val="009D57D1"/>
    <w:rsid w:val="009D5BBB"/>
    <w:rsid w:val="009E5B79"/>
    <w:rsid w:val="009E639D"/>
    <w:rsid w:val="009F094C"/>
    <w:rsid w:val="00A01677"/>
    <w:rsid w:val="00A054B6"/>
    <w:rsid w:val="00A06CCD"/>
    <w:rsid w:val="00A125EE"/>
    <w:rsid w:val="00A1265E"/>
    <w:rsid w:val="00A13AAE"/>
    <w:rsid w:val="00A15858"/>
    <w:rsid w:val="00A17AB0"/>
    <w:rsid w:val="00A22912"/>
    <w:rsid w:val="00A237F0"/>
    <w:rsid w:val="00A31EF6"/>
    <w:rsid w:val="00A412F1"/>
    <w:rsid w:val="00A41E21"/>
    <w:rsid w:val="00A43B1E"/>
    <w:rsid w:val="00A45183"/>
    <w:rsid w:val="00A51F34"/>
    <w:rsid w:val="00A53209"/>
    <w:rsid w:val="00A53D2B"/>
    <w:rsid w:val="00A55A5E"/>
    <w:rsid w:val="00A56FF1"/>
    <w:rsid w:val="00A57169"/>
    <w:rsid w:val="00A64400"/>
    <w:rsid w:val="00A6465A"/>
    <w:rsid w:val="00A662D8"/>
    <w:rsid w:val="00A67B25"/>
    <w:rsid w:val="00A718B9"/>
    <w:rsid w:val="00A71A6F"/>
    <w:rsid w:val="00A72536"/>
    <w:rsid w:val="00A72940"/>
    <w:rsid w:val="00A74077"/>
    <w:rsid w:val="00A755FB"/>
    <w:rsid w:val="00A758D6"/>
    <w:rsid w:val="00A76E41"/>
    <w:rsid w:val="00A83A37"/>
    <w:rsid w:val="00A850C9"/>
    <w:rsid w:val="00A90787"/>
    <w:rsid w:val="00A90FB8"/>
    <w:rsid w:val="00A911F7"/>
    <w:rsid w:val="00A93743"/>
    <w:rsid w:val="00A95A93"/>
    <w:rsid w:val="00A95B3D"/>
    <w:rsid w:val="00A973EA"/>
    <w:rsid w:val="00AA05B7"/>
    <w:rsid w:val="00AA5223"/>
    <w:rsid w:val="00AB055B"/>
    <w:rsid w:val="00AC14B6"/>
    <w:rsid w:val="00AC35CB"/>
    <w:rsid w:val="00AC3CCD"/>
    <w:rsid w:val="00AC3E98"/>
    <w:rsid w:val="00AC58EF"/>
    <w:rsid w:val="00AC5C22"/>
    <w:rsid w:val="00AC6843"/>
    <w:rsid w:val="00AD0AA0"/>
    <w:rsid w:val="00AD1F77"/>
    <w:rsid w:val="00AD30E7"/>
    <w:rsid w:val="00AD3572"/>
    <w:rsid w:val="00AD45D6"/>
    <w:rsid w:val="00AE32B8"/>
    <w:rsid w:val="00AE46F9"/>
    <w:rsid w:val="00AE73DC"/>
    <w:rsid w:val="00AF6AFC"/>
    <w:rsid w:val="00B0180E"/>
    <w:rsid w:val="00B02028"/>
    <w:rsid w:val="00B02F07"/>
    <w:rsid w:val="00B03380"/>
    <w:rsid w:val="00B03EDC"/>
    <w:rsid w:val="00B07456"/>
    <w:rsid w:val="00B102F5"/>
    <w:rsid w:val="00B12B20"/>
    <w:rsid w:val="00B14736"/>
    <w:rsid w:val="00B31625"/>
    <w:rsid w:val="00B33805"/>
    <w:rsid w:val="00B34F18"/>
    <w:rsid w:val="00B36431"/>
    <w:rsid w:val="00B41E6F"/>
    <w:rsid w:val="00B42062"/>
    <w:rsid w:val="00B42A06"/>
    <w:rsid w:val="00B44BB8"/>
    <w:rsid w:val="00B50598"/>
    <w:rsid w:val="00B5097B"/>
    <w:rsid w:val="00B512DB"/>
    <w:rsid w:val="00B54FAC"/>
    <w:rsid w:val="00B56FF6"/>
    <w:rsid w:val="00B60DDF"/>
    <w:rsid w:val="00B72511"/>
    <w:rsid w:val="00B73FA8"/>
    <w:rsid w:val="00B7579F"/>
    <w:rsid w:val="00B7754A"/>
    <w:rsid w:val="00B818C1"/>
    <w:rsid w:val="00B82D48"/>
    <w:rsid w:val="00B86C0A"/>
    <w:rsid w:val="00B9294E"/>
    <w:rsid w:val="00B968D6"/>
    <w:rsid w:val="00BA6308"/>
    <w:rsid w:val="00BA7403"/>
    <w:rsid w:val="00BB538C"/>
    <w:rsid w:val="00BB5829"/>
    <w:rsid w:val="00BC77C2"/>
    <w:rsid w:val="00BD066B"/>
    <w:rsid w:val="00BD207D"/>
    <w:rsid w:val="00BD334B"/>
    <w:rsid w:val="00BD4124"/>
    <w:rsid w:val="00BD7A56"/>
    <w:rsid w:val="00BE14A9"/>
    <w:rsid w:val="00BE517D"/>
    <w:rsid w:val="00BE667A"/>
    <w:rsid w:val="00BF5CC5"/>
    <w:rsid w:val="00C1167E"/>
    <w:rsid w:val="00C13015"/>
    <w:rsid w:val="00C13AED"/>
    <w:rsid w:val="00C16729"/>
    <w:rsid w:val="00C16FF6"/>
    <w:rsid w:val="00C240CC"/>
    <w:rsid w:val="00C244D6"/>
    <w:rsid w:val="00C2469D"/>
    <w:rsid w:val="00C30E94"/>
    <w:rsid w:val="00C33AE3"/>
    <w:rsid w:val="00C33DCA"/>
    <w:rsid w:val="00C4153C"/>
    <w:rsid w:val="00C4392B"/>
    <w:rsid w:val="00C4605E"/>
    <w:rsid w:val="00C50078"/>
    <w:rsid w:val="00C50830"/>
    <w:rsid w:val="00C620F4"/>
    <w:rsid w:val="00C63089"/>
    <w:rsid w:val="00C64874"/>
    <w:rsid w:val="00C72657"/>
    <w:rsid w:val="00C744FB"/>
    <w:rsid w:val="00C77909"/>
    <w:rsid w:val="00C85B21"/>
    <w:rsid w:val="00C85CE7"/>
    <w:rsid w:val="00C877FF"/>
    <w:rsid w:val="00C87E73"/>
    <w:rsid w:val="00C93897"/>
    <w:rsid w:val="00CA44DE"/>
    <w:rsid w:val="00CA5006"/>
    <w:rsid w:val="00CB5189"/>
    <w:rsid w:val="00CB775F"/>
    <w:rsid w:val="00CC2507"/>
    <w:rsid w:val="00CC3FFA"/>
    <w:rsid w:val="00CC70B1"/>
    <w:rsid w:val="00CD0ED0"/>
    <w:rsid w:val="00CD1E7B"/>
    <w:rsid w:val="00CD41CD"/>
    <w:rsid w:val="00CD542D"/>
    <w:rsid w:val="00CE04BF"/>
    <w:rsid w:val="00CE0622"/>
    <w:rsid w:val="00CE0684"/>
    <w:rsid w:val="00CE39EF"/>
    <w:rsid w:val="00CE4930"/>
    <w:rsid w:val="00CE63A2"/>
    <w:rsid w:val="00CE7382"/>
    <w:rsid w:val="00CE7E9E"/>
    <w:rsid w:val="00CE7F08"/>
    <w:rsid w:val="00CF1786"/>
    <w:rsid w:val="00CF7D01"/>
    <w:rsid w:val="00D0583F"/>
    <w:rsid w:val="00D139A7"/>
    <w:rsid w:val="00D20647"/>
    <w:rsid w:val="00D2120D"/>
    <w:rsid w:val="00D26B9D"/>
    <w:rsid w:val="00D3162F"/>
    <w:rsid w:val="00D4573D"/>
    <w:rsid w:val="00D63B4D"/>
    <w:rsid w:val="00D70F8F"/>
    <w:rsid w:val="00D71000"/>
    <w:rsid w:val="00D72D83"/>
    <w:rsid w:val="00D73E34"/>
    <w:rsid w:val="00D7666D"/>
    <w:rsid w:val="00D7716F"/>
    <w:rsid w:val="00D86459"/>
    <w:rsid w:val="00D87EF5"/>
    <w:rsid w:val="00D906A7"/>
    <w:rsid w:val="00D922A5"/>
    <w:rsid w:val="00D93B01"/>
    <w:rsid w:val="00DA65E2"/>
    <w:rsid w:val="00DA7DF2"/>
    <w:rsid w:val="00DB0B8B"/>
    <w:rsid w:val="00DB5AD6"/>
    <w:rsid w:val="00DB5D63"/>
    <w:rsid w:val="00DC0FF6"/>
    <w:rsid w:val="00DC16FD"/>
    <w:rsid w:val="00DC27CF"/>
    <w:rsid w:val="00DC27F5"/>
    <w:rsid w:val="00DC2EAE"/>
    <w:rsid w:val="00DC3E20"/>
    <w:rsid w:val="00DC536B"/>
    <w:rsid w:val="00DC64F7"/>
    <w:rsid w:val="00DC7A08"/>
    <w:rsid w:val="00DC7CB0"/>
    <w:rsid w:val="00DD1C28"/>
    <w:rsid w:val="00DD4530"/>
    <w:rsid w:val="00DD4970"/>
    <w:rsid w:val="00DD4C2E"/>
    <w:rsid w:val="00DD67A4"/>
    <w:rsid w:val="00DE05F5"/>
    <w:rsid w:val="00DE7107"/>
    <w:rsid w:val="00DF2AB6"/>
    <w:rsid w:val="00DF2E35"/>
    <w:rsid w:val="00DF496C"/>
    <w:rsid w:val="00E0055F"/>
    <w:rsid w:val="00E0114A"/>
    <w:rsid w:val="00E040F2"/>
    <w:rsid w:val="00E14630"/>
    <w:rsid w:val="00E17876"/>
    <w:rsid w:val="00E20B5A"/>
    <w:rsid w:val="00E23306"/>
    <w:rsid w:val="00E23FE4"/>
    <w:rsid w:val="00E24ABD"/>
    <w:rsid w:val="00E24CEA"/>
    <w:rsid w:val="00E2635F"/>
    <w:rsid w:val="00E30DAE"/>
    <w:rsid w:val="00E330A0"/>
    <w:rsid w:val="00E45EF8"/>
    <w:rsid w:val="00E46ACF"/>
    <w:rsid w:val="00E47601"/>
    <w:rsid w:val="00E50069"/>
    <w:rsid w:val="00E57907"/>
    <w:rsid w:val="00E64480"/>
    <w:rsid w:val="00E646C2"/>
    <w:rsid w:val="00E64AF8"/>
    <w:rsid w:val="00E67DFA"/>
    <w:rsid w:val="00E70EB4"/>
    <w:rsid w:val="00E7369A"/>
    <w:rsid w:val="00E73808"/>
    <w:rsid w:val="00E73988"/>
    <w:rsid w:val="00E74632"/>
    <w:rsid w:val="00E805D4"/>
    <w:rsid w:val="00E805FB"/>
    <w:rsid w:val="00E807C7"/>
    <w:rsid w:val="00E80B1A"/>
    <w:rsid w:val="00E80E07"/>
    <w:rsid w:val="00E81B7A"/>
    <w:rsid w:val="00E91519"/>
    <w:rsid w:val="00E91832"/>
    <w:rsid w:val="00E92538"/>
    <w:rsid w:val="00EA3979"/>
    <w:rsid w:val="00EA5159"/>
    <w:rsid w:val="00EA7625"/>
    <w:rsid w:val="00EB03F7"/>
    <w:rsid w:val="00EB1323"/>
    <w:rsid w:val="00EB2DCE"/>
    <w:rsid w:val="00EB3AFA"/>
    <w:rsid w:val="00EB3B97"/>
    <w:rsid w:val="00EB63B1"/>
    <w:rsid w:val="00EC3B52"/>
    <w:rsid w:val="00EC3C3E"/>
    <w:rsid w:val="00EC4B90"/>
    <w:rsid w:val="00EC4E05"/>
    <w:rsid w:val="00ED072A"/>
    <w:rsid w:val="00ED0742"/>
    <w:rsid w:val="00ED0D93"/>
    <w:rsid w:val="00ED2AC4"/>
    <w:rsid w:val="00ED58E4"/>
    <w:rsid w:val="00EE4C88"/>
    <w:rsid w:val="00EF7563"/>
    <w:rsid w:val="00EF7773"/>
    <w:rsid w:val="00F0150B"/>
    <w:rsid w:val="00F02594"/>
    <w:rsid w:val="00F029EE"/>
    <w:rsid w:val="00F04AF6"/>
    <w:rsid w:val="00F054A9"/>
    <w:rsid w:val="00F065E7"/>
    <w:rsid w:val="00F0700D"/>
    <w:rsid w:val="00F070EA"/>
    <w:rsid w:val="00F07EE9"/>
    <w:rsid w:val="00F11113"/>
    <w:rsid w:val="00F13A37"/>
    <w:rsid w:val="00F1625D"/>
    <w:rsid w:val="00F17E61"/>
    <w:rsid w:val="00F23126"/>
    <w:rsid w:val="00F275F9"/>
    <w:rsid w:val="00F323B8"/>
    <w:rsid w:val="00F32CA5"/>
    <w:rsid w:val="00F32FC9"/>
    <w:rsid w:val="00F36D7E"/>
    <w:rsid w:val="00F37047"/>
    <w:rsid w:val="00F40B96"/>
    <w:rsid w:val="00F424B0"/>
    <w:rsid w:val="00F432DB"/>
    <w:rsid w:val="00F447E8"/>
    <w:rsid w:val="00F47799"/>
    <w:rsid w:val="00F51691"/>
    <w:rsid w:val="00F53556"/>
    <w:rsid w:val="00F55B78"/>
    <w:rsid w:val="00F56BB9"/>
    <w:rsid w:val="00F6094F"/>
    <w:rsid w:val="00F61031"/>
    <w:rsid w:val="00F65C96"/>
    <w:rsid w:val="00F71674"/>
    <w:rsid w:val="00F809E7"/>
    <w:rsid w:val="00F80F80"/>
    <w:rsid w:val="00F91057"/>
    <w:rsid w:val="00F919C3"/>
    <w:rsid w:val="00F91EB4"/>
    <w:rsid w:val="00F95C9A"/>
    <w:rsid w:val="00F9780C"/>
    <w:rsid w:val="00FA1221"/>
    <w:rsid w:val="00FA719E"/>
    <w:rsid w:val="00FA7A4A"/>
    <w:rsid w:val="00FA7B72"/>
    <w:rsid w:val="00FB6A4D"/>
    <w:rsid w:val="00FC3BEC"/>
    <w:rsid w:val="00FC67D5"/>
    <w:rsid w:val="00FC7388"/>
    <w:rsid w:val="00FD0451"/>
    <w:rsid w:val="00FD19F1"/>
    <w:rsid w:val="00FD47A6"/>
    <w:rsid w:val="00FD75EC"/>
    <w:rsid w:val="00FE00FF"/>
    <w:rsid w:val="00FE0160"/>
    <w:rsid w:val="00FF14DE"/>
    <w:rsid w:val="00FF1E69"/>
    <w:rsid w:val="00FF4DED"/>
    <w:rsid w:val="00FF76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9C6CE3B"/>
  <w15:docId w15:val="{472ACA76-3659-4752-92DD-E4ED270D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aliases w:val="Body Text Char Char,Body Text Char Char Char"/>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customStyle="1" w:styleId="Brdtext2">
    <w:name w:val="Brödtext2"/>
    <w:basedOn w:val="Normal"/>
    <w:link w:val="BrdtextChar"/>
    <w:rsid w:val="00A64400"/>
    <w:pPr>
      <w:spacing w:line="320" w:lineRule="exact"/>
    </w:pPr>
    <w:rPr>
      <w:sz w:val="24"/>
      <w:szCs w:val="24"/>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character" w:customStyle="1" w:styleId="BrdtextChar">
    <w:name w:val="Brödtext Char"/>
    <w:link w:val="Brdtext2"/>
    <w:rsid w:val="00A64400"/>
    <w:rPr>
      <w:sz w:val="24"/>
      <w:szCs w:val="24"/>
      <w:lang w:val="sv-SE" w:eastAsia="zh-CN" w:bidi="ar-SA"/>
    </w:rPr>
  </w:style>
  <w:style w:type="paragraph" w:styleId="NormalWeb">
    <w:name w:val="Normal (Web)"/>
    <w:basedOn w:val="Normal"/>
    <w:uiPriority w:val="99"/>
    <w:rsid w:val="000C0BF3"/>
    <w:pPr>
      <w:spacing w:before="100" w:beforeAutospacing="1" w:after="100" w:afterAutospacing="1"/>
    </w:pPr>
    <w:rPr>
      <w:sz w:val="24"/>
      <w:szCs w:val="24"/>
      <w:lang w:eastAsia="sv-SE"/>
    </w:rPr>
  </w:style>
  <w:style w:type="paragraph" w:styleId="FootnoteText">
    <w:name w:val="footnote text"/>
    <w:basedOn w:val="Normal"/>
    <w:link w:val="FootnoteTextChar"/>
    <w:uiPriority w:val="99"/>
    <w:semiHidden/>
    <w:rsid w:val="00CE4930"/>
  </w:style>
  <w:style w:type="character" w:styleId="FootnoteReference">
    <w:name w:val="footnote reference"/>
    <w:uiPriority w:val="99"/>
    <w:semiHidden/>
    <w:rsid w:val="00CE4930"/>
    <w:rPr>
      <w:vertAlign w:val="superscript"/>
    </w:rPr>
  </w:style>
  <w:style w:type="character" w:styleId="Hyperlink">
    <w:name w:val="Hyperlink"/>
    <w:uiPriority w:val="99"/>
    <w:rsid w:val="0017775B"/>
    <w:rPr>
      <w:color w:val="0000FF"/>
      <w:u w:val="single"/>
    </w:rPr>
  </w:style>
  <w:style w:type="paragraph" w:styleId="BalloonText">
    <w:name w:val="Balloon Text"/>
    <w:basedOn w:val="Normal"/>
    <w:link w:val="BalloonTextChar"/>
    <w:rsid w:val="004F6537"/>
    <w:rPr>
      <w:rFonts w:ascii="Tahoma" w:hAnsi="Tahoma" w:cs="Tahoma"/>
      <w:sz w:val="16"/>
      <w:szCs w:val="16"/>
    </w:rPr>
  </w:style>
  <w:style w:type="character" w:customStyle="1" w:styleId="BalloonTextChar">
    <w:name w:val="Balloon Text Char"/>
    <w:link w:val="BalloonText"/>
    <w:rsid w:val="004F6537"/>
    <w:rPr>
      <w:rFonts w:ascii="Tahoma" w:hAnsi="Tahoma" w:cs="Tahoma"/>
      <w:sz w:val="16"/>
      <w:szCs w:val="16"/>
      <w:lang w:val="sv-SE" w:eastAsia="zh-CN"/>
    </w:rPr>
  </w:style>
  <w:style w:type="character" w:styleId="CommentReference">
    <w:name w:val="annotation reference"/>
    <w:rsid w:val="004F6537"/>
    <w:rPr>
      <w:sz w:val="16"/>
      <w:szCs w:val="16"/>
    </w:rPr>
  </w:style>
  <w:style w:type="paragraph" w:styleId="CommentText">
    <w:name w:val="annotation text"/>
    <w:basedOn w:val="Normal"/>
    <w:link w:val="CommentTextChar"/>
    <w:rsid w:val="004F6537"/>
  </w:style>
  <w:style w:type="character" w:customStyle="1" w:styleId="CommentTextChar">
    <w:name w:val="Comment Text Char"/>
    <w:link w:val="CommentText"/>
    <w:rsid w:val="004F6537"/>
    <w:rPr>
      <w:lang w:val="sv-SE" w:eastAsia="zh-CN"/>
    </w:rPr>
  </w:style>
  <w:style w:type="paragraph" w:styleId="CommentSubject">
    <w:name w:val="annotation subject"/>
    <w:basedOn w:val="CommentText"/>
    <w:next w:val="CommentText"/>
    <w:link w:val="CommentSubjectChar"/>
    <w:rsid w:val="004F6537"/>
    <w:rPr>
      <w:b/>
      <w:bCs/>
    </w:rPr>
  </w:style>
  <w:style w:type="character" w:customStyle="1" w:styleId="CommentSubjectChar">
    <w:name w:val="Comment Subject Char"/>
    <w:link w:val="CommentSubject"/>
    <w:rsid w:val="004F6537"/>
    <w:rPr>
      <w:b/>
      <w:bCs/>
      <w:lang w:val="sv-SE" w:eastAsia="zh-CN"/>
    </w:rPr>
  </w:style>
  <w:style w:type="paragraph" w:styleId="ListParagraph">
    <w:name w:val="List Paragraph"/>
    <w:basedOn w:val="Normal"/>
    <w:uiPriority w:val="34"/>
    <w:qFormat/>
    <w:rsid w:val="00BF5CC5"/>
    <w:pPr>
      <w:ind w:left="720"/>
    </w:pPr>
    <w:rPr>
      <w:rFonts w:ascii="Calibri" w:eastAsia="Calibri" w:hAnsi="Calibri"/>
      <w:sz w:val="22"/>
      <w:szCs w:val="22"/>
      <w:lang w:eastAsia="en-US"/>
    </w:rPr>
  </w:style>
  <w:style w:type="character" w:styleId="FollowedHyperlink">
    <w:name w:val="FollowedHyperlink"/>
    <w:basedOn w:val="DefaultParagraphFont"/>
    <w:rsid w:val="00FD0451"/>
    <w:rPr>
      <w:color w:val="800080" w:themeColor="followedHyperlink"/>
      <w:u w:val="single"/>
    </w:rPr>
  </w:style>
  <w:style w:type="character" w:customStyle="1" w:styleId="FootnoteTextChar">
    <w:name w:val="Footnote Text Char"/>
    <w:basedOn w:val="DefaultParagraphFont"/>
    <w:link w:val="FootnoteText"/>
    <w:uiPriority w:val="99"/>
    <w:semiHidden/>
    <w:rsid w:val="00DC7A08"/>
    <w:rPr>
      <w:lang w:eastAsia="zh-CN"/>
    </w:rPr>
  </w:style>
  <w:style w:type="paragraph" w:styleId="Revision">
    <w:name w:val="Revision"/>
    <w:hidden/>
    <w:uiPriority w:val="71"/>
    <w:semiHidden/>
    <w:rsid w:val="00285AC6"/>
    <w:rPr>
      <w:lang w:eastAsia="zh-CN"/>
    </w:rPr>
  </w:style>
  <w:style w:type="paragraph" w:styleId="BodyText">
    <w:name w:val="Body Text"/>
    <w:basedOn w:val="Normal"/>
    <w:link w:val="BodyTextChar"/>
    <w:uiPriority w:val="99"/>
    <w:semiHidden/>
    <w:unhideWhenUsed/>
    <w:rsid w:val="00F55B78"/>
    <w:pPr>
      <w:spacing w:after="200" w:line="276" w:lineRule="auto"/>
    </w:pPr>
    <w:rPr>
      <w:rFonts w:ascii="Arial" w:eastAsiaTheme="minorHAnsi" w:hAnsi="Arial" w:cs="Arial"/>
      <w:lang w:eastAsia="en-US"/>
    </w:rPr>
  </w:style>
  <w:style w:type="character" w:customStyle="1" w:styleId="BodyTextChar">
    <w:name w:val="Body Text Char"/>
    <w:basedOn w:val="DefaultParagraphFont"/>
    <w:link w:val="BodyText"/>
    <w:uiPriority w:val="99"/>
    <w:semiHidden/>
    <w:rsid w:val="00F55B78"/>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6060">
      <w:bodyDiv w:val="1"/>
      <w:marLeft w:val="0"/>
      <w:marRight w:val="0"/>
      <w:marTop w:val="0"/>
      <w:marBottom w:val="0"/>
      <w:divBdr>
        <w:top w:val="none" w:sz="0" w:space="0" w:color="auto"/>
        <w:left w:val="none" w:sz="0" w:space="0" w:color="auto"/>
        <w:bottom w:val="none" w:sz="0" w:space="0" w:color="auto"/>
        <w:right w:val="none" w:sz="0" w:space="0" w:color="auto"/>
      </w:divBdr>
      <w:divsChild>
        <w:div w:id="503939071">
          <w:marLeft w:val="0"/>
          <w:marRight w:val="0"/>
          <w:marTop w:val="0"/>
          <w:marBottom w:val="0"/>
          <w:divBdr>
            <w:top w:val="none" w:sz="0" w:space="0" w:color="auto"/>
            <w:left w:val="none" w:sz="0" w:space="0" w:color="auto"/>
            <w:bottom w:val="none" w:sz="0" w:space="0" w:color="auto"/>
            <w:right w:val="none" w:sz="0" w:space="0" w:color="auto"/>
          </w:divBdr>
          <w:divsChild>
            <w:div w:id="1725834083">
              <w:marLeft w:val="0"/>
              <w:marRight w:val="0"/>
              <w:marTop w:val="0"/>
              <w:marBottom w:val="0"/>
              <w:divBdr>
                <w:top w:val="none" w:sz="0" w:space="0" w:color="auto"/>
                <w:left w:val="none" w:sz="0" w:space="0" w:color="auto"/>
                <w:bottom w:val="none" w:sz="0" w:space="0" w:color="auto"/>
                <w:right w:val="none" w:sz="0" w:space="0" w:color="auto"/>
              </w:divBdr>
              <w:divsChild>
                <w:div w:id="12430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6305">
      <w:bodyDiv w:val="1"/>
      <w:marLeft w:val="0"/>
      <w:marRight w:val="0"/>
      <w:marTop w:val="0"/>
      <w:marBottom w:val="0"/>
      <w:divBdr>
        <w:top w:val="none" w:sz="0" w:space="0" w:color="auto"/>
        <w:left w:val="none" w:sz="0" w:space="0" w:color="auto"/>
        <w:bottom w:val="none" w:sz="0" w:space="0" w:color="auto"/>
        <w:right w:val="none" w:sz="0" w:space="0" w:color="auto"/>
      </w:divBdr>
    </w:div>
    <w:div w:id="214396433">
      <w:bodyDiv w:val="1"/>
      <w:marLeft w:val="0"/>
      <w:marRight w:val="0"/>
      <w:marTop w:val="0"/>
      <w:marBottom w:val="0"/>
      <w:divBdr>
        <w:top w:val="none" w:sz="0" w:space="0" w:color="auto"/>
        <w:left w:val="none" w:sz="0" w:space="0" w:color="auto"/>
        <w:bottom w:val="none" w:sz="0" w:space="0" w:color="auto"/>
        <w:right w:val="none" w:sz="0" w:space="0" w:color="auto"/>
      </w:divBdr>
    </w:div>
    <w:div w:id="236014607">
      <w:bodyDiv w:val="1"/>
      <w:marLeft w:val="0"/>
      <w:marRight w:val="0"/>
      <w:marTop w:val="0"/>
      <w:marBottom w:val="0"/>
      <w:divBdr>
        <w:top w:val="none" w:sz="0" w:space="0" w:color="auto"/>
        <w:left w:val="none" w:sz="0" w:space="0" w:color="auto"/>
        <w:bottom w:val="none" w:sz="0" w:space="0" w:color="auto"/>
        <w:right w:val="none" w:sz="0" w:space="0" w:color="auto"/>
      </w:divBdr>
    </w:div>
    <w:div w:id="294217055">
      <w:bodyDiv w:val="1"/>
      <w:marLeft w:val="0"/>
      <w:marRight w:val="0"/>
      <w:marTop w:val="0"/>
      <w:marBottom w:val="0"/>
      <w:divBdr>
        <w:top w:val="none" w:sz="0" w:space="0" w:color="auto"/>
        <w:left w:val="none" w:sz="0" w:space="0" w:color="auto"/>
        <w:bottom w:val="none" w:sz="0" w:space="0" w:color="auto"/>
        <w:right w:val="none" w:sz="0" w:space="0" w:color="auto"/>
      </w:divBdr>
    </w:div>
    <w:div w:id="302081485">
      <w:bodyDiv w:val="1"/>
      <w:marLeft w:val="0"/>
      <w:marRight w:val="0"/>
      <w:marTop w:val="0"/>
      <w:marBottom w:val="0"/>
      <w:divBdr>
        <w:top w:val="none" w:sz="0" w:space="0" w:color="auto"/>
        <w:left w:val="none" w:sz="0" w:space="0" w:color="auto"/>
        <w:bottom w:val="none" w:sz="0" w:space="0" w:color="auto"/>
        <w:right w:val="none" w:sz="0" w:space="0" w:color="auto"/>
      </w:divBdr>
    </w:div>
    <w:div w:id="372733505">
      <w:bodyDiv w:val="1"/>
      <w:marLeft w:val="0"/>
      <w:marRight w:val="0"/>
      <w:marTop w:val="0"/>
      <w:marBottom w:val="0"/>
      <w:divBdr>
        <w:top w:val="none" w:sz="0" w:space="0" w:color="auto"/>
        <w:left w:val="none" w:sz="0" w:space="0" w:color="auto"/>
        <w:bottom w:val="none" w:sz="0" w:space="0" w:color="auto"/>
        <w:right w:val="none" w:sz="0" w:space="0" w:color="auto"/>
      </w:divBdr>
      <w:divsChild>
        <w:div w:id="131335089">
          <w:marLeft w:val="0"/>
          <w:marRight w:val="0"/>
          <w:marTop w:val="0"/>
          <w:marBottom w:val="0"/>
          <w:divBdr>
            <w:top w:val="none" w:sz="0" w:space="0" w:color="auto"/>
            <w:left w:val="none" w:sz="0" w:space="0" w:color="auto"/>
            <w:bottom w:val="none" w:sz="0" w:space="0" w:color="auto"/>
            <w:right w:val="none" w:sz="0" w:space="0" w:color="auto"/>
          </w:divBdr>
          <w:divsChild>
            <w:div w:id="1694040878">
              <w:marLeft w:val="0"/>
              <w:marRight w:val="0"/>
              <w:marTop w:val="0"/>
              <w:marBottom w:val="0"/>
              <w:divBdr>
                <w:top w:val="none" w:sz="0" w:space="0" w:color="auto"/>
                <w:left w:val="none" w:sz="0" w:space="0" w:color="auto"/>
                <w:bottom w:val="none" w:sz="0" w:space="0" w:color="auto"/>
                <w:right w:val="none" w:sz="0" w:space="0" w:color="auto"/>
              </w:divBdr>
              <w:divsChild>
                <w:div w:id="1783063965">
                  <w:marLeft w:val="0"/>
                  <w:marRight w:val="0"/>
                  <w:marTop w:val="0"/>
                  <w:marBottom w:val="0"/>
                  <w:divBdr>
                    <w:top w:val="none" w:sz="0" w:space="0" w:color="auto"/>
                    <w:left w:val="none" w:sz="0" w:space="0" w:color="auto"/>
                    <w:bottom w:val="none" w:sz="0" w:space="0" w:color="auto"/>
                    <w:right w:val="none" w:sz="0" w:space="0" w:color="auto"/>
                  </w:divBdr>
                  <w:divsChild>
                    <w:div w:id="1268200898">
                      <w:marLeft w:val="0"/>
                      <w:marRight w:val="0"/>
                      <w:marTop w:val="0"/>
                      <w:marBottom w:val="0"/>
                      <w:divBdr>
                        <w:top w:val="none" w:sz="0" w:space="0" w:color="auto"/>
                        <w:left w:val="none" w:sz="0" w:space="0" w:color="auto"/>
                        <w:bottom w:val="none" w:sz="0" w:space="0" w:color="auto"/>
                        <w:right w:val="none" w:sz="0" w:space="0" w:color="auto"/>
                      </w:divBdr>
                      <w:divsChild>
                        <w:div w:id="600450056">
                          <w:marLeft w:val="0"/>
                          <w:marRight w:val="0"/>
                          <w:marTop w:val="0"/>
                          <w:marBottom w:val="0"/>
                          <w:divBdr>
                            <w:top w:val="none" w:sz="0" w:space="0" w:color="auto"/>
                            <w:left w:val="none" w:sz="0" w:space="0" w:color="auto"/>
                            <w:bottom w:val="none" w:sz="0" w:space="0" w:color="auto"/>
                            <w:right w:val="none" w:sz="0" w:space="0" w:color="auto"/>
                          </w:divBdr>
                          <w:divsChild>
                            <w:div w:id="10525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67035">
      <w:bodyDiv w:val="1"/>
      <w:marLeft w:val="0"/>
      <w:marRight w:val="0"/>
      <w:marTop w:val="0"/>
      <w:marBottom w:val="0"/>
      <w:divBdr>
        <w:top w:val="none" w:sz="0" w:space="0" w:color="auto"/>
        <w:left w:val="none" w:sz="0" w:space="0" w:color="auto"/>
        <w:bottom w:val="none" w:sz="0" w:space="0" w:color="auto"/>
        <w:right w:val="none" w:sz="0" w:space="0" w:color="auto"/>
      </w:divBdr>
    </w:div>
    <w:div w:id="392313322">
      <w:bodyDiv w:val="1"/>
      <w:marLeft w:val="0"/>
      <w:marRight w:val="0"/>
      <w:marTop w:val="0"/>
      <w:marBottom w:val="0"/>
      <w:divBdr>
        <w:top w:val="none" w:sz="0" w:space="0" w:color="auto"/>
        <w:left w:val="none" w:sz="0" w:space="0" w:color="auto"/>
        <w:bottom w:val="none" w:sz="0" w:space="0" w:color="auto"/>
        <w:right w:val="none" w:sz="0" w:space="0" w:color="auto"/>
      </w:divBdr>
    </w:div>
    <w:div w:id="419257395">
      <w:bodyDiv w:val="1"/>
      <w:marLeft w:val="0"/>
      <w:marRight w:val="0"/>
      <w:marTop w:val="0"/>
      <w:marBottom w:val="0"/>
      <w:divBdr>
        <w:top w:val="none" w:sz="0" w:space="0" w:color="auto"/>
        <w:left w:val="none" w:sz="0" w:space="0" w:color="auto"/>
        <w:bottom w:val="none" w:sz="0" w:space="0" w:color="auto"/>
        <w:right w:val="none" w:sz="0" w:space="0" w:color="auto"/>
      </w:divBdr>
    </w:div>
    <w:div w:id="441649253">
      <w:bodyDiv w:val="1"/>
      <w:marLeft w:val="0"/>
      <w:marRight w:val="0"/>
      <w:marTop w:val="0"/>
      <w:marBottom w:val="0"/>
      <w:divBdr>
        <w:top w:val="none" w:sz="0" w:space="0" w:color="auto"/>
        <w:left w:val="none" w:sz="0" w:space="0" w:color="auto"/>
        <w:bottom w:val="none" w:sz="0" w:space="0" w:color="auto"/>
        <w:right w:val="none" w:sz="0" w:space="0" w:color="auto"/>
      </w:divBdr>
    </w:div>
    <w:div w:id="449474844">
      <w:bodyDiv w:val="1"/>
      <w:marLeft w:val="0"/>
      <w:marRight w:val="0"/>
      <w:marTop w:val="0"/>
      <w:marBottom w:val="0"/>
      <w:divBdr>
        <w:top w:val="none" w:sz="0" w:space="0" w:color="auto"/>
        <w:left w:val="none" w:sz="0" w:space="0" w:color="auto"/>
        <w:bottom w:val="none" w:sz="0" w:space="0" w:color="auto"/>
        <w:right w:val="none" w:sz="0" w:space="0" w:color="auto"/>
      </w:divBdr>
    </w:div>
    <w:div w:id="469444478">
      <w:bodyDiv w:val="1"/>
      <w:marLeft w:val="0"/>
      <w:marRight w:val="0"/>
      <w:marTop w:val="0"/>
      <w:marBottom w:val="0"/>
      <w:divBdr>
        <w:top w:val="none" w:sz="0" w:space="0" w:color="auto"/>
        <w:left w:val="none" w:sz="0" w:space="0" w:color="auto"/>
        <w:bottom w:val="none" w:sz="0" w:space="0" w:color="auto"/>
        <w:right w:val="none" w:sz="0" w:space="0" w:color="auto"/>
      </w:divBdr>
    </w:div>
    <w:div w:id="543299169">
      <w:bodyDiv w:val="1"/>
      <w:marLeft w:val="0"/>
      <w:marRight w:val="0"/>
      <w:marTop w:val="0"/>
      <w:marBottom w:val="0"/>
      <w:divBdr>
        <w:top w:val="none" w:sz="0" w:space="0" w:color="auto"/>
        <w:left w:val="none" w:sz="0" w:space="0" w:color="auto"/>
        <w:bottom w:val="none" w:sz="0" w:space="0" w:color="auto"/>
        <w:right w:val="none" w:sz="0" w:space="0" w:color="auto"/>
      </w:divBdr>
      <w:divsChild>
        <w:div w:id="609774760">
          <w:marLeft w:val="0"/>
          <w:marRight w:val="0"/>
          <w:marTop w:val="150"/>
          <w:marBottom w:val="0"/>
          <w:divBdr>
            <w:top w:val="none" w:sz="0" w:space="0" w:color="auto"/>
            <w:left w:val="none" w:sz="0" w:space="0" w:color="auto"/>
            <w:bottom w:val="none" w:sz="0" w:space="0" w:color="auto"/>
            <w:right w:val="none" w:sz="0" w:space="0" w:color="auto"/>
          </w:divBdr>
          <w:divsChild>
            <w:div w:id="1314723405">
              <w:marLeft w:val="0"/>
              <w:marRight w:val="0"/>
              <w:marTop w:val="0"/>
              <w:marBottom w:val="0"/>
              <w:divBdr>
                <w:top w:val="none" w:sz="0" w:space="0" w:color="auto"/>
                <w:left w:val="none" w:sz="0" w:space="0" w:color="auto"/>
                <w:bottom w:val="none" w:sz="0" w:space="0" w:color="auto"/>
                <w:right w:val="none" w:sz="0" w:space="0" w:color="auto"/>
              </w:divBdr>
              <w:divsChild>
                <w:div w:id="1544050376">
                  <w:marLeft w:val="0"/>
                  <w:marRight w:val="0"/>
                  <w:marTop w:val="0"/>
                  <w:marBottom w:val="0"/>
                  <w:divBdr>
                    <w:top w:val="none" w:sz="0" w:space="0" w:color="auto"/>
                    <w:left w:val="none" w:sz="0" w:space="0" w:color="auto"/>
                    <w:bottom w:val="none" w:sz="0" w:space="0" w:color="auto"/>
                    <w:right w:val="none" w:sz="0" w:space="0" w:color="auto"/>
                  </w:divBdr>
                  <w:divsChild>
                    <w:div w:id="1373268718">
                      <w:marLeft w:val="0"/>
                      <w:marRight w:val="0"/>
                      <w:marTop w:val="0"/>
                      <w:marBottom w:val="0"/>
                      <w:divBdr>
                        <w:top w:val="none" w:sz="0" w:space="0" w:color="auto"/>
                        <w:left w:val="none" w:sz="0" w:space="0" w:color="auto"/>
                        <w:bottom w:val="none" w:sz="0" w:space="0" w:color="auto"/>
                        <w:right w:val="none" w:sz="0" w:space="0" w:color="auto"/>
                      </w:divBdr>
                      <w:divsChild>
                        <w:div w:id="161630685">
                          <w:marLeft w:val="0"/>
                          <w:marRight w:val="0"/>
                          <w:marTop w:val="0"/>
                          <w:marBottom w:val="0"/>
                          <w:divBdr>
                            <w:top w:val="none" w:sz="0" w:space="0" w:color="auto"/>
                            <w:left w:val="none" w:sz="0" w:space="0" w:color="auto"/>
                            <w:bottom w:val="none" w:sz="0" w:space="0" w:color="auto"/>
                            <w:right w:val="none" w:sz="0" w:space="0" w:color="auto"/>
                          </w:divBdr>
                          <w:divsChild>
                            <w:div w:id="175463194">
                              <w:marLeft w:val="0"/>
                              <w:marRight w:val="0"/>
                              <w:marTop w:val="0"/>
                              <w:marBottom w:val="0"/>
                              <w:divBdr>
                                <w:top w:val="none" w:sz="0" w:space="0" w:color="auto"/>
                                <w:left w:val="none" w:sz="0" w:space="0" w:color="auto"/>
                                <w:bottom w:val="none" w:sz="0" w:space="0" w:color="auto"/>
                                <w:right w:val="none" w:sz="0" w:space="0" w:color="auto"/>
                              </w:divBdr>
                              <w:divsChild>
                                <w:div w:id="1561594072">
                                  <w:marLeft w:val="0"/>
                                  <w:marRight w:val="0"/>
                                  <w:marTop w:val="0"/>
                                  <w:marBottom w:val="0"/>
                                  <w:divBdr>
                                    <w:top w:val="none" w:sz="0" w:space="0" w:color="auto"/>
                                    <w:left w:val="none" w:sz="0" w:space="0" w:color="auto"/>
                                    <w:bottom w:val="none" w:sz="0" w:space="0" w:color="auto"/>
                                    <w:right w:val="none" w:sz="0" w:space="0" w:color="auto"/>
                                  </w:divBdr>
                                </w:div>
                                <w:div w:id="16665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720374">
      <w:bodyDiv w:val="1"/>
      <w:marLeft w:val="0"/>
      <w:marRight w:val="0"/>
      <w:marTop w:val="0"/>
      <w:marBottom w:val="0"/>
      <w:divBdr>
        <w:top w:val="none" w:sz="0" w:space="0" w:color="auto"/>
        <w:left w:val="none" w:sz="0" w:space="0" w:color="auto"/>
        <w:bottom w:val="none" w:sz="0" w:space="0" w:color="auto"/>
        <w:right w:val="none" w:sz="0" w:space="0" w:color="auto"/>
      </w:divBdr>
    </w:div>
    <w:div w:id="603928121">
      <w:bodyDiv w:val="1"/>
      <w:marLeft w:val="0"/>
      <w:marRight w:val="0"/>
      <w:marTop w:val="0"/>
      <w:marBottom w:val="0"/>
      <w:divBdr>
        <w:top w:val="none" w:sz="0" w:space="0" w:color="auto"/>
        <w:left w:val="none" w:sz="0" w:space="0" w:color="auto"/>
        <w:bottom w:val="none" w:sz="0" w:space="0" w:color="auto"/>
        <w:right w:val="none" w:sz="0" w:space="0" w:color="auto"/>
      </w:divBdr>
    </w:div>
    <w:div w:id="792409578">
      <w:bodyDiv w:val="1"/>
      <w:marLeft w:val="0"/>
      <w:marRight w:val="0"/>
      <w:marTop w:val="0"/>
      <w:marBottom w:val="0"/>
      <w:divBdr>
        <w:top w:val="none" w:sz="0" w:space="0" w:color="auto"/>
        <w:left w:val="none" w:sz="0" w:space="0" w:color="auto"/>
        <w:bottom w:val="none" w:sz="0" w:space="0" w:color="auto"/>
        <w:right w:val="none" w:sz="0" w:space="0" w:color="auto"/>
      </w:divBdr>
    </w:div>
    <w:div w:id="797452520">
      <w:bodyDiv w:val="1"/>
      <w:marLeft w:val="0"/>
      <w:marRight w:val="0"/>
      <w:marTop w:val="0"/>
      <w:marBottom w:val="0"/>
      <w:divBdr>
        <w:top w:val="none" w:sz="0" w:space="0" w:color="auto"/>
        <w:left w:val="none" w:sz="0" w:space="0" w:color="auto"/>
        <w:bottom w:val="none" w:sz="0" w:space="0" w:color="auto"/>
        <w:right w:val="none" w:sz="0" w:space="0" w:color="auto"/>
      </w:divBdr>
    </w:div>
    <w:div w:id="814681604">
      <w:bodyDiv w:val="1"/>
      <w:marLeft w:val="0"/>
      <w:marRight w:val="0"/>
      <w:marTop w:val="0"/>
      <w:marBottom w:val="0"/>
      <w:divBdr>
        <w:top w:val="none" w:sz="0" w:space="0" w:color="auto"/>
        <w:left w:val="none" w:sz="0" w:space="0" w:color="auto"/>
        <w:bottom w:val="none" w:sz="0" w:space="0" w:color="auto"/>
        <w:right w:val="none" w:sz="0" w:space="0" w:color="auto"/>
      </w:divBdr>
    </w:div>
    <w:div w:id="875972672">
      <w:bodyDiv w:val="1"/>
      <w:marLeft w:val="0"/>
      <w:marRight w:val="0"/>
      <w:marTop w:val="0"/>
      <w:marBottom w:val="0"/>
      <w:divBdr>
        <w:top w:val="none" w:sz="0" w:space="0" w:color="auto"/>
        <w:left w:val="none" w:sz="0" w:space="0" w:color="auto"/>
        <w:bottom w:val="none" w:sz="0" w:space="0" w:color="auto"/>
        <w:right w:val="none" w:sz="0" w:space="0" w:color="auto"/>
      </w:divBdr>
    </w:div>
    <w:div w:id="999310411">
      <w:bodyDiv w:val="1"/>
      <w:marLeft w:val="0"/>
      <w:marRight w:val="0"/>
      <w:marTop w:val="0"/>
      <w:marBottom w:val="0"/>
      <w:divBdr>
        <w:top w:val="none" w:sz="0" w:space="0" w:color="auto"/>
        <w:left w:val="none" w:sz="0" w:space="0" w:color="auto"/>
        <w:bottom w:val="none" w:sz="0" w:space="0" w:color="auto"/>
        <w:right w:val="none" w:sz="0" w:space="0" w:color="auto"/>
      </w:divBdr>
    </w:div>
    <w:div w:id="1035696883">
      <w:bodyDiv w:val="1"/>
      <w:marLeft w:val="0"/>
      <w:marRight w:val="0"/>
      <w:marTop w:val="0"/>
      <w:marBottom w:val="0"/>
      <w:divBdr>
        <w:top w:val="none" w:sz="0" w:space="0" w:color="auto"/>
        <w:left w:val="none" w:sz="0" w:space="0" w:color="auto"/>
        <w:bottom w:val="none" w:sz="0" w:space="0" w:color="auto"/>
        <w:right w:val="none" w:sz="0" w:space="0" w:color="auto"/>
      </w:divBdr>
    </w:div>
    <w:div w:id="1086346412">
      <w:bodyDiv w:val="1"/>
      <w:marLeft w:val="0"/>
      <w:marRight w:val="0"/>
      <w:marTop w:val="0"/>
      <w:marBottom w:val="0"/>
      <w:divBdr>
        <w:top w:val="none" w:sz="0" w:space="0" w:color="auto"/>
        <w:left w:val="none" w:sz="0" w:space="0" w:color="auto"/>
        <w:bottom w:val="none" w:sz="0" w:space="0" w:color="auto"/>
        <w:right w:val="none" w:sz="0" w:space="0" w:color="auto"/>
      </w:divBdr>
    </w:div>
    <w:div w:id="1106999653">
      <w:bodyDiv w:val="1"/>
      <w:marLeft w:val="0"/>
      <w:marRight w:val="0"/>
      <w:marTop w:val="0"/>
      <w:marBottom w:val="0"/>
      <w:divBdr>
        <w:top w:val="none" w:sz="0" w:space="0" w:color="auto"/>
        <w:left w:val="none" w:sz="0" w:space="0" w:color="auto"/>
        <w:bottom w:val="none" w:sz="0" w:space="0" w:color="auto"/>
        <w:right w:val="none" w:sz="0" w:space="0" w:color="auto"/>
      </w:divBdr>
    </w:div>
    <w:div w:id="1206403831">
      <w:bodyDiv w:val="1"/>
      <w:marLeft w:val="0"/>
      <w:marRight w:val="0"/>
      <w:marTop w:val="0"/>
      <w:marBottom w:val="0"/>
      <w:divBdr>
        <w:top w:val="none" w:sz="0" w:space="0" w:color="auto"/>
        <w:left w:val="none" w:sz="0" w:space="0" w:color="auto"/>
        <w:bottom w:val="none" w:sz="0" w:space="0" w:color="auto"/>
        <w:right w:val="none" w:sz="0" w:space="0" w:color="auto"/>
      </w:divBdr>
      <w:divsChild>
        <w:div w:id="2037928260">
          <w:marLeft w:val="0"/>
          <w:marRight w:val="0"/>
          <w:marTop w:val="0"/>
          <w:marBottom w:val="0"/>
          <w:divBdr>
            <w:top w:val="none" w:sz="0" w:space="0" w:color="auto"/>
            <w:left w:val="none" w:sz="0" w:space="0" w:color="auto"/>
            <w:bottom w:val="none" w:sz="0" w:space="0" w:color="auto"/>
            <w:right w:val="none" w:sz="0" w:space="0" w:color="auto"/>
          </w:divBdr>
          <w:divsChild>
            <w:div w:id="888029201">
              <w:marLeft w:val="0"/>
              <w:marRight w:val="0"/>
              <w:marTop w:val="0"/>
              <w:marBottom w:val="0"/>
              <w:divBdr>
                <w:top w:val="none" w:sz="0" w:space="0" w:color="auto"/>
                <w:left w:val="none" w:sz="0" w:space="0" w:color="auto"/>
                <w:bottom w:val="none" w:sz="0" w:space="0" w:color="auto"/>
                <w:right w:val="none" w:sz="0" w:space="0" w:color="auto"/>
              </w:divBdr>
              <w:divsChild>
                <w:div w:id="19964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0797">
      <w:bodyDiv w:val="1"/>
      <w:marLeft w:val="0"/>
      <w:marRight w:val="0"/>
      <w:marTop w:val="0"/>
      <w:marBottom w:val="0"/>
      <w:divBdr>
        <w:top w:val="none" w:sz="0" w:space="0" w:color="auto"/>
        <w:left w:val="none" w:sz="0" w:space="0" w:color="auto"/>
        <w:bottom w:val="none" w:sz="0" w:space="0" w:color="auto"/>
        <w:right w:val="none" w:sz="0" w:space="0" w:color="auto"/>
      </w:divBdr>
    </w:div>
    <w:div w:id="1288003089">
      <w:bodyDiv w:val="1"/>
      <w:marLeft w:val="0"/>
      <w:marRight w:val="0"/>
      <w:marTop w:val="0"/>
      <w:marBottom w:val="0"/>
      <w:divBdr>
        <w:top w:val="none" w:sz="0" w:space="0" w:color="auto"/>
        <w:left w:val="none" w:sz="0" w:space="0" w:color="auto"/>
        <w:bottom w:val="none" w:sz="0" w:space="0" w:color="auto"/>
        <w:right w:val="none" w:sz="0" w:space="0" w:color="auto"/>
      </w:divBdr>
    </w:div>
    <w:div w:id="1292008481">
      <w:bodyDiv w:val="1"/>
      <w:marLeft w:val="0"/>
      <w:marRight w:val="0"/>
      <w:marTop w:val="0"/>
      <w:marBottom w:val="0"/>
      <w:divBdr>
        <w:top w:val="none" w:sz="0" w:space="0" w:color="auto"/>
        <w:left w:val="none" w:sz="0" w:space="0" w:color="auto"/>
        <w:bottom w:val="none" w:sz="0" w:space="0" w:color="auto"/>
        <w:right w:val="none" w:sz="0" w:space="0" w:color="auto"/>
      </w:divBdr>
    </w:div>
    <w:div w:id="1386947962">
      <w:bodyDiv w:val="1"/>
      <w:marLeft w:val="0"/>
      <w:marRight w:val="0"/>
      <w:marTop w:val="0"/>
      <w:marBottom w:val="0"/>
      <w:divBdr>
        <w:top w:val="none" w:sz="0" w:space="0" w:color="auto"/>
        <w:left w:val="none" w:sz="0" w:space="0" w:color="auto"/>
        <w:bottom w:val="none" w:sz="0" w:space="0" w:color="auto"/>
        <w:right w:val="none" w:sz="0" w:space="0" w:color="auto"/>
      </w:divBdr>
    </w:div>
    <w:div w:id="1387756431">
      <w:bodyDiv w:val="1"/>
      <w:marLeft w:val="0"/>
      <w:marRight w:val="0"/>
      <w:marTop w:val="0"/>
      <w:marBottom w:val="0"/>
      <w:divBdr>
        <w:top w:val="none" w:sz="0" w:space="0" w:color="auto"/>
        <w:left w:val="none" w:sz="0" w:space="0" w:color="auto"/>
        <w:bottom w:val="none" w:sz="0" w:space="0" w:color="auto"/>
        <w:right w:val="none" w:sz="0" w:space="0" w:color="auto"/>
      </w:divBdr>
    </w:div>
    <w:div w:id="1418870173">
      <w:bodyDiv w:val="1"/>
      <w:marLeft w:val="0"/>
      <w:marRight w:val="0"/>
      <w:marTop w:val="0"/>
      <w:marBottom w:val="0"/>
      <w:divBdr>
        <w:top w:val="none" w:sz="0" w:space="0" w:color="auto"/>
        <w:left w:val="none" w:sz="0" w:space="0" w:color="auto"/>
        <w:bottom w:val="none" w:sz="0" w:space="0" w:color="auto"/>
        <w:right w:val="none" w:sz="0" w:space="0" w:color="auto"/>
      </w:divBdr>
    </w:div>
    <w:div w:id="1482696354">
      <w:bodyDiv w:val="1"/>
      <w:marLeft w:val="0"/>
      <w:marRight w:val="0"/>
      <w:marTop w:val="0"/>
      <w:marBottom w:val="0"/>
      <w:divBdr>
        <w:top w:val="none" w:sz="0" w:space="0" w:color="auto"/>
        <w:left w:val="none" w:sz="0" w:space="0" w:color="auto"/>
        <w:bottom w:val="none" w:sz="0" w:space="0" w:color="auto"/>
        <w:right w:val="none" w:sz="0" w:space="0" w:color="auto"/>
      </w:divBdr>
    </w:div>
    <w:div w:id="1657568430">
      <w:bodyDiv w:val="1"/>
      <w:marLeft w:val="0"/>
      <w:marRight w:val="0"/>
      <w:marTop w:val="0"/>
      <w:marBottom w:val="0"/>
      <w:divBdr>
        <w:top w:val="none" w:sz="0" w:space="0" w:color="auto"/>
        <w:left w:val="none" w:sz="0" w:space="0" w:color="auto"/>
        <w:bottom w:val="none" w:sz="0" w:space="0" w:color="auto"/>
        <w:right w:val="none" w:sz="0" w:space="0" w:color="auto"/>
      </w:divBdr>
    </w:div>
    <w:div w:id="1667316397">
      <w:bodyDiv w:val="1"/>
      <w:marLeft w:val="0"/>
      <w:marRight w:val="0"/>
      <w:marTop w:val="0"/>
      <w:marBottom w:val="0"/>
      <w:divBdr>
        <w:top w:val="none" w:sz="0" w:space="0" w:color="auto"/>
        <w:left w:val="none" w:sz="0" w:space="0" w:color="auto"/>
        <w:bottom w:val="none" w:sz="0" w:space="0" w:color="auto"/>
        <w:right w:val="none" w:sz="0" w:space="0" w:color="auto"/>
      </w:divBdr>
    </w:div>
    <w:div w:id="1791821222">
      <w:bodyDiv w:val="1"/>
      <w:marLeft w:val="0"/>
      <w:marRight w:val="0"/>
      <w:marTop w:val="0"/>
      <w:marBottom w:val="0"/>
      <w:divBdr>
        <w:top w:val="none" w:sz="0" w:space="0" w:color="auto"/>
        <w:left w:val="none" w:sz="0" w:space="0" w:color="auto"/>
        <w:bottom w:val="none" w:sz="0" w:space="0" w:color="auto"/>
        <w:right w:val="none" w:sz="0" w:space="0" w:color="auto"/>
      </w:divBdr>
    </w:div>
    <w:div w:id="2010131338">
      <w:bodyDiv w:val="1"/>
      <w:marLeft w:val="0"/>
      <w:marRight w:val="0"/>
      <w:marTop w:val="0"/>
      <w:marBottom w:val="0"/>
      <w:divBdr>
        <w:top w:val="none" w:sz="0" w:space="0" w:color="auto"/>
        <w:left w:val="none" w:sz="0" w:space="0" w:color="auto"/>
        <w:bottom w:val="none" w:sz="0" w:space="0" w:color="auto"/>
        <w:right w:val="none" w:sz="0" w:space="0" w:color="auto"/>
      </w:divBdr>
    </w:div>
    <w:div w:id="2059892277">
      <w:bodyDiv w:val="1"/>
      <w:marLeft w:val="0"/>
      <w:marRight w:val="0"/>
      <w:marTop w:val="0"/>
      <w:marBottom w:val="0"/>
      <w:divBdr>
        <w:top w:val="none" w:sz="0" w:space="0" w:color="auto"/>
        <w:left w:val="none" w:sz="0" w:space="0" w:color="auto"/>
        <w:bottom w:val="none" w:sz="0" w:space="0" w:color="auto"/>
        <w:right w:val="none" w:sz="0" w:space="0" w:color="auto"/>
      </w:divBdr>
    </w:div>
    <w:div w:id="2081052715">
      <w:bodyDiv w:val="1"/>
      <w:marLeft w:val="0"/>
      <w:marRight w:val="0"/>
      <w:marTop w:val="0"/>
      <w:marBottom w:val="0"/>
      <w:divBdr>
        <w:top w:val="none" w:sz="0" w:space="0" w:color="auto"/>
        <w:left w:val="none" w:sz="0" w:space="0" w:color="auto"/>
        <w:bottom w:val="none" w:sz="0" w:space="0" w:color="auto"/>
        <w:right w:val="none" w:sz="0" w:space="0" w:color="auto"/>
      </w:divBdr>
    </w:div>
    <w:div w:id="2098938811">
      <w:bodyDiv w:val="1"/>
      <w:marLeft w:val="0"/>
      <w:marRight w:val="0"/>
      <w:marTop w:val="0"/>
      <w:marBottom w:val="0"/>
      <w:divBdr>
        <w:top w:val="none" w:sz="0" w:space="0" w:color="auto"/>
        <w:left w:val="none" w:sz="0" w:space="0" w:color="auto"/>
        <w:bottom w:val="none" w:sz="0" w:space="0" w:color="auto"/>
        <w:right w:val="none" w:sz="0" w:space="0" w:color="auto"/>
      </w:divBdr>
    </w:div>
    <w:div w:id="2117364879">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Rktele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5EF7-D9B8-4B44-8710-DA6E4BDD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Rkteleum</Template>
  <TotalTime>0</TotalTime>
  <Pages>12</Pages>
  <Words>3747</Words>
  <Characters>22953</Characters>
  <Application>Microsoft Office Word</Application>
  <DocSecurity>0</DocSecurity>
  <Lines>191</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26647</CharactersWithSpaces>
  <SharedDoc>false</SharedDoc>
  <HLinks>
    <vt:vector size="6" baseType="variant">
      <vt:variant>
        <vt:i4>2162722</vt:i4>
      </vt:variant>
      <vt:variant>
        <vt:i4>3</vt:i4>
      </vt:variant>
      <vt:variant>
        <vt:i4>0</vt:i4>
      </vt:variant>
      <vt:variant>
        <vt:i4>5</vt:i4>
      </vt:variant>
      <vt:variant>
        <vt:lpwstr>http://www.manskligarattigheter.se/sv/manskliga-rattigheter-i-varlden/ud-s-rapporter-om-manskliga-rattigheter/nordamerika-latinamerika-och-karibien?c=Kuba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hlt0613</dc:creator>
  <cp:keywords/>
  <dc:description/>
  <cp:lastModifiedBy>Kristine Erlandsson</cp:lastModifiedBy>
  <cp:revision>4</cp:revision>
  <cp:lastPrinted>2020-02-11T22:37:00Z</cp:lastPrinted>
  <dcterms:created xsi:type="dcterms:W3CDTF">2020-03-10T22:54:00Z</dcterms:created>
  <dcterms:modified xsi:type="dcterms:W3CDTF">2020-03-18T18:15:00Z</dcterms:modified>
</cp:coreProperties>
</file>