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8F5A33" w:rsidRPr="006314C9" w:rsidTr="008F5A33">
        <w:tc>
          <w:tcPr>
            <w:tcW w:w="4675" w:type="dxa"/>
          </w:tcPr>
          <w:p w:rsidR="008F5A33" w:rsidRPr="006314C9" w:rsidRDefault="008F5A33" w:rsidP="00B27FEA">
            <w:pPr>
              <w:spacing w:after="0"/>
              <w:jc w:val="left"/>
              <w:rPr>
                <w:rFonts w:cs="Times New Roman"/>
                <w:b/>
                <w:sz w:val="28"/>
                <w:szCs w:val="28"/>
                <w:lang w:val="en-GB"/>
              </w:rPr>
            </w:pPr>
            <w:r w:rsidRPr="006314C9">
              <w:rPr>
                <w:noProof/>
              </w:rPr>
              <w:drawing>
                <wp:inline distT="0" distB="0" distL="0" distR="0">
                  <wp:extent cx="1659255" cy="1009015"/>
                  <wp:effectExtent l="0" t="0" r="0" b="0"/>
                  <wp:docPr id="4" name="Picture 1" descr="Description: C:\Users\OFFICE6\Desktop\Logos\SANE27-Logo 04-09-18(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OFFICE6\Desktop\Logos\SANE27-Logo 04-09-18(1).jpg"/>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9255" cy="1009015"/>
                          </a:xfrm>
                          <a:prstGeom prst="rect">
                            <a:avLst/>
                          </a:prstGeom>
                          <a:noFill/>
                          <a:ln>
                            <a:noFill/>
                          </a:ln>
                        </pic:spPr>
                      </pic:pic>
                    </a:graphicData>
                  </a:graphic>
                </wp:inline>
              </w:drawing>
            </w:r>
          </w:p>
        </w:tc>
        <w:tc>
          <w:tcPr>
            <w:tcW w:w="4675" w:type="dxa"/>
          </w:tcPr>
          <w:p w:rsidR="008F5A33" w:rsidRPr="006314C9" w:rsidRDefault="008F5A33" w:rsidP="00B27FEA">
            <w:pPr>
              <w:spacing w:after="0"/>
              <w:jc w:val="right"/>
              <w:rPr>
                <w:rFonts w:cs="Times New Roman"/>
                <w:b/>
                <w:sz w:val="28"/>
                <w:szCs w:val="28"/>
                <w:lang w:val="en-GB"/>
              </w:rPr>
            </w:pPr>
            <w:r w:rsidRPr="006314C9">
              <w:rPr>
                <w:rFonts w:cs="Times New Roman"/>
                <w:b/>
                <w:bCs/>
                <w:noProof/>
                <w:sz w:val="32"/>
                <w:szCs w:val="32"/>
              </w:rPr>
              <w:drawing>
                <wp:inline distT="0" distB="0" distL="0" distR="0">
                  <wp:extent cx="1242584" cy="993137"/>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2353" cy="1000945"/>
                          </a:xfrm>
                          <a:prstGeom prst="rect">
                            <a:avLst/>
                          </a:prstGeom>
                          <a:noFill/>
                          <a:ln>
                            <a:noFill/>
                          </a:ln>
                        </pic:spPr>
                      </pic:pic>
                    </a:graphicData>
                  </a:graphic>
                </wp:inline>
              </w:drawing>
            </w:r>
          </w:p>
        </w:tc>
      </w:tr>
    </w:tbl>
    <w:p w:rsidR="002D699D" w:rsidRPr="006314C9" w:rsidRDefault="002D699D" w:rsidP="00B27FEA">
      <w:pPr>
        <w:spacing w:after="0"/>
        <w:jc w:val="center"/>
        <w:rPr>
          <w:rFonts w:cs="Times New Roman"/>
          <w:b/>
          <w:sz w:val="28"/>
          <w:szCs w:val="28"/>
          <w:lang w:val="en-GB"/>
        </w:rPr>
      </w:pPr>
    </w:p>
    <w:p w:rsidR="002D699D" w:rsidRPr="006314C9" w:rsidRDefault="002D699D" w:rsidP="00B27FEA">
      <w:pPr>
        <w:spacing w:after="0"/>
        <w:jc w:val="center"/>
        <w:rPr>
          <w:rFonts w:cs="Times New Roman"/>
          <w:b/>
          <w:sz w:val="28"/>
          <w:szCs w:val="28"/>
          <w:lang w:val="en-GB"/>
        </w:rPr>
      </w:pPr>
    </w:p>
    <w:p w:rsidR="002D699D" w:rsidRPr="006314C9" w:rsidRDefault="002D699D" w:rsidP="00B27FEA">
      <w:pPr>
        <w:spacing w:after="0"/>
        <w:jc w:val="center"/>
        <w:rPr>
          <w:rFonts w:cs="Times New Roman"/>
          <w:b/>
          <w:sz w:val="28"/>
          <w:szCs w:val="28"/>
          <w:lang w:val="en-GB"/>
        </w:rPr>
      </w:pPr>
    </w:p>
    <w:p w:rsidR="002D699D" w:rsidRPr="006314C9" w:rsidRDefault="002D699D" w:rsidP="00B27FEA">
      <w:pPr>
        <w:spacing w:after="0"/>
        <w:jc w:val="center"/>
        <w:rPr>
          <w:rFonts w:cs="Times New Roman"/>
          <w:b/>
          <w:sz w:val="28"/>
          <w:szCs w:val="28"/>
          <w:lang w:val="en-GB"/>
        </w:rPr>
      </w:pPr>
    </w:p>
    <w:p w:rsidR="002D699D" w:rsidRPr="006314C9" w:rsidRDefault="002D699D" w:rsidP="00B27FEA">
      <w:pPr>
        <w:spacing w:after="0"/>
        <w:jc w:val="center"/>
        <w:rPr>
          <w:rFonts w:cs="Times New Roman"/>
          <w:b/>
          <w:sz w:val="28"/>
          <w:szCs w:val="28"/>
          <w:lang w:val="en-GB"/>
        </w:rPr>
      </w:pPr>
    </w:p>
    <w:p w:rsidR="002D699D" w:rsidRPr="006314C9" w:rsidRDefault="002D699D" w:rsidP="00B27FEA">
      <w:pPr>
        <w:spacing w:after="0"/>
        <w:jc w:val="center"/>
        <w:rPr>
          <w:rFonts w:cs="Times New Roman"/>
          <w:b/>
          <w:sz w:val="28"/>
          <w:szCs w:val="28"/>
          <w:lang w:val="en-GB"/>
        </w:rPr>
      </w:pPr>
    </w:p>
    <w:p w:rsidR="002D699D" w:rsidRPr="006314C9" w:rsidRDefault="002D699D" w:rsidP="00B27FEA">
      <w:pPr>
        <w:spacing w:after="0"/>
        <w:jc w:val="center"/>
        <w:rPr>
          <w:rFonts w:cs="Times New Roman"/>
          <w:b/>
          <w:sz w:val="28"/>
          <w:szCs w:val="28"/>
          <w:lang w:val="en-GB"/>
        </w:rPr>
      </w:pPr>
    </w:p>
    <w:p w:rsidR="0009348A" w:rsidRPr="006314C9" w:rsidRDefault="0009348A" w:rsidP="0009348A">
      <w:pPr>
        <w:spacing w:after="0"/>
        <w:jc w:val="center"/>
        <w:rPr>
          <w:rFonts w:cs="Times New Roman"/>
          <w:b/>
          <w:sz w:val="28"/>
          <w:szCs w:val="28"/>
          <w:lang w:val="en-GB"/>
        </w:rPr>
      </w:pPr>
      <w:r w:rsidRPr="006314C9">
        <w:rPr>
          <w:rFonts w:cs="Times New Roman"/>
          <w:b/>
          <w:sz w:val="28"/>
          <w:szCs w:val="28"/>
          <w:lang w:val="en-GB"/>
        </w:rPr>
        <w:t>Chapter 27 Environment and Climate Change</w:t>
      </w:r>
    </w:p>
    <w:p w:rsidR="002D699D" w:rsidRPr="006314C9" w:rsidRDefault="002D699D" w:rsidP="00B27FEA">
      <w:pPr>
        <w:spacing w:after="0"/>
        <w:jc w:val="center"/>
        <w:rPr>
          <w:rFonts w:cs="Times New Roman"/>
          <w:b/>
          <w:sz w:val="28"/>
          <w:szCs w:val="28"/>
          <w:lang w:val="en-GB"/>
        </w:rPr>
      </w:pPr>
    </w:p>
    <w:p w:rsidR="00A012BB" w:rsidRPr="006314C9" w:rsidRDefault="00A012BB" w:rsidP="00B27FEA">
      <w:pPr>
        <w:spacing w:after="0"/>
        <w:jc w:val="center"/>
        <w:rPr>
          <w:rFonts w:cs="Times New Roman"/>
          <w:b/>
          <w:sz w:val="28"/>
          <w:szCs w:val="28"/>
          <w:lang w:val="en-GB"/>
        </w:rPr>
      </w:pPr>
      <w:r w:rsidRPr="006314C9">
        <w:rPr>
          <w:rFonts w:cs="Times New Roman"/>
          <w:b/>
          <w:sz w:val="28"/>
          <w:szCs w:val="28"/>
          <w:lang w:val="en-GB"/>
        </w:rPr>
        <w:t xml:space="preserve">Screening preparatory assessment </w:t>
      </w:r>
      <w:r w:rsidR="00737C52" w:rsidRPr="006314C9">
        <w:rPr>
          <w:rFonts w:cs="Times New Roman"/>
          <w:b/>
          <w:sz w:val="28"/>
          <w:szCs w:val="28"/>
          <w:lang w:val="en-GB"/>
        </w:rPr>
        <w:t>report</w:t>
      </w:r>
    </w:p>
    <w:p w:rsidR="00A012BB" w:rsidRPr="006314C9" w:rsidRDefault="00A012BB" w:rsidP="00B27FEA">
      <w:pPr>
        <w:spacing w:after="0"/>
        <w:jc w:val="center"/>
        <w:rPr>
          <w:rFonts w:cs="Times New Roman"/>
          <w:b/>
          <w:sz w:val="28"/>
          <w:szCs w:val="28"/>
          <w:lang w:val="en-GB"/>
        </w:rPr>
      </w:pPr>
    </w:p>
    <w:p w:rsidR="00377F54" w:rsidRPr="006314C9" w:rsidRDefault="00377F54" w:rsidP="00B27FEA">
      <w:pPr>
        <w:spacing w:after="0"/>
        <w:jc w:val="center"/>
        <w:rPr>
          <w:rFonts w:cs="Times New Roman"/>
          <w:b/>
          <w:lang w:val="en-GB"/>
        </w:rPr>
      </w:pPr>
    </w:p>
    <w:p w:rsidR="00377F54" w:rsidRPr="006314C9" w:rsidRDefault="00377F54" w:rsidP="00B27FEA">
      <w:pPr>
        <w:spacing w:after="0"/>
        <w:jc w:val="center"/>
        <w:rPr>
          <w:rFonts w:cs="Times New Roman"/>
          <w:b/>
          <w:lang w:val="en-GB"/>
        </w:rPr>
      </w:pPr>
    </w:p>
    <w:p w:rsidR="00377F54" w:rsidRPr="006314C9" w:rsidRDefault="00377F54" w:rsidP="00B27FEA">
      <w:pPr>
        <w:spacing w:after="0"/>
        <w:jc w:val="center"/>
        <w:rPr>
          <w:rFonts w:cs="Times New Roman"/>
          <w:b/>
          <w:lang w:val="en-GB"/>
        </w:rPr>
      </w:pPr>
    </w:p>
    <w:p w:rsidR="00377F54" w:rsidRPr="006314C9" w:rsidRDefault="00377F54" w:rsidP="00B27FEA">
      <w:pPr>
        <w:spacing w:after="0"/>
        <w:jc w:val="center"/>
        <w:rPr>
          <w:rFonts w:cs="Times New Roman"/>
          <w:b/>
          <w:lang w:val="en-GB"/>
        </w:rPr>
      </w:pPr>
    </w:p>
    <w:p w:rsidR="00377F54" w:rsidRPr="006314C9" w:rsidRDefault="00377F54" w:rsidP="00B27FEA">
      <w:pPr>
        <w:spacing w:after="0"/>
        <w:jc w:val="center"/>
        <w:rPr>
          <w:rFonts w:cs="Times New Roman"/>
          <w:b/>
          <w:lang w:val="en-GB"/>
        </w:rPr>
      </w:pPr>
    </w:p>
    <w:p w:rsidR="00377F54" w:rsidRPr="006314C9" w:rsidRDefault="00377F54" w:rsidP="00B27FEA">
      <w:pPr>
        <w:spacing w:after="0"/>
        <w:jc w:val="center"/>
        <w:rPr>
          <w:rFonts w:cs="Times New Roman"/>
          <w:b/>
          <w:lang w:val="en-GB"/>
        </w:rPr>
      </w:pPr>
    </w:p>
    <w:p w:rsidR="008F5A33" w:rsidRPr="006314C9" w:rsidRDefault="008F5A33" w:rsidP="00B27FEA">
      <w:pPr>
        <w:spacing w:after="0"/>
        <w:jc w:val="center"/>
        <w:rPr>
          <w:rFonts w:cs="Times New Roman"/>
          <w:b/>
          <w:lang w:val="en-GB"/>
        </w:rPr>
      </w:pPr>
    </w:p>
    <w:p w:rsidR="008F5A33" w:rsidRPr="006314C9" w:rsidRDefault="008F5A33" w:rsidP="007B0BC7">
      <w:pPr>
        <w:spacing w:after="0"/>
        <w:jc w:val="center"/>
        <w:rPr>
          <w:rFonts w:cs="Times New Roman"/>
          <w:b/>
          <w:lang w:val="en-GB"/>
        </w:rPr>
      </w:pPr>
    </w:p>
    <w:p w:rsidR="008F5A33" w:rsidRPr="006314C9" w:rsidRDefault="008F5A33" w:rsidP="00152F5E">
      <w:pPr>
        <w:spacing w:after="0"/>
        <w:rPr>
          <w:rFonts w:cs="Times New Roman"/>
          <w:b/>
          <w:lang w:val="en-GB"/>
        </w:rPr>
      </w:pPr>
    </w:p>
    <w:p w:rsidR="008F5A33" w:rsidRPr="006314C9" w:rsidRDefault="008F5A33" w:rsidP="00152F5E">
      <w:pPr>
        <w:spacing w:after="0"/>
        <w:rPr>
          <w:rFonts w:cs="Times New Roman"/>
          <w:b/>
          <w:lang w:val="en-GB"/>
        </w:rPr>
      </w:pPr>
    </w:p>
    <w:p w:rsidR="008F5A33" w:rsidRPr="006314C9" w:rsidRDefault="008F5A33" w:rsidP="00C81C00">
      <w:pPr>
        <w:spacing w:after="0"/>
        <w:jc w:val="center"/>
        <w:rPr>
          <w:rFonts w:cs="Times New Roman"/>
          <w:b/>
          <w:lang w:val="en-GB"/>
        </w:rPr>
      </w:pPr>
      <w:r w:rsidRPr="006314C9">
        <w:rPr>
          <w:rFonts w:cs="Times New Roman"/>
          <w:b/>
          <w:lang w:val="en-GB"/>
        </w:rPr>
        <w:t>October 2019</w:t>
      </w:r>
    </w:p>
    <w:p w:rsidR="008F5A33" w:rsidRPr="006314C9" w:rsidRDefault="008F5A33" w:rsidP="00152F5E">
      <w:pPr>
        <w:spacing w:after="0"/>
        <w:rPr>
          <w:rFonts w:cs="Times New Roman"/>
          <w:b/>
          <w:lang w:val="en-GB"/>
        </w:rPr>
      </w:pPr>
    </w:p>
    <w:p w:rsidR="008F5A33" w:rsidRPr="006314C9" w:rsidRDefault="008F5A33" w:rsidP="00B27FEA">
      <w:pPr>
        <w:spacing w:after="0"/>
        <w:jc w:val="center"/>
        <w:rPr>
          <w:rFonts w:cs="Times New Roman"/>
          <w:b/>
          <w:lang w:val="en-GB"/>
        </w:rPr>
      </w:pPr>
    </w:p>
    <w:p w:rsidR="00C81C00" w:rsidRPr="006314C9" w:rsidRDefault="00C81C00" w:rsidP="00B27FEA">
      <w:pPr>
        <w:spacing w:after="0"/>
        <w:jc w:val="center"/>
        <w:rPr>
          <w:rFonts w:cs="Times New Roman"/>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8F5A33" w:rsidRPr="006314C9" w:rsidTr="00152F5E">
        <w:tc>
          <w:tcPr>
            <w:tcW w:w="4675" w:type="dxa"/>
          </w:tcPr>
          <w:p w:rsidR="008F5A33" w:rsidRPr="006314C9" w:rsidRDefault="008F5A33" w:rsidP="00C81C00">
            <w:pPr>
              <w:spacing w:after="0"/>
              <w:jc w:val="left"/>
              <w:rPr>
                <w:rFonts w:cs="Times New Roman"/>
                <w:b/>
                <w:lang w:val="en-GB"/>
              </w:rPr>
            </w:pPr>
            <w:r w:rsidRPr="006314C9">
              <w:rPr>
                <w:rFonts w:cs="Times New Roman"/>
                <w:noProof/>
              </w:rPr>
              <w:drawing>
                <wp:inline distT="0" distB="0" distL="0" distR="0">
                  <wp:extent cx="1899138" cy="550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2478" cy="560400"/>
                          </a:xfrm>
                          <a:prstGeom prst="rect">
                            <a:avLst/>
                          </a:prstGeom>
                          <a:noFill/>
                          <a:ln>
                            <a:noFill/>
                          </a:ln>
                        </pic:spPr>
                      </pic:pic>
                    </a:graphicData>
                  </a:graphic>
                </wp:inline>
              </w:drawing>
            </w:r>
          </w:p>
        </w:tc>
        <w:tc>
          <w:tcPr>
            <w:tcW w:w="4675" w:type="dxa"/>
          </w:tcPr>
          <w:p w:rsidR="008F5A33" w:rsidRPr="006314C9" w:rsidRDefault="008F5A33" w:rsidP="007B0BC7">
            <w:pPr>
              <w:spacing w:after="0"/>
              <w:jc w:val="center"/>
              <w:rPr>
                <w:rFonts w:cs="Times New Roman"/>
                <w:b/>
                <w:lang w:val="en-GB"/>
              </w:rPr>
            </w:pPr>
          </w:p>
        </w:tc>
      </w:tr>
    </w:tbl>
    <w:p w:rsidR="00590337" w:rsidRPr="006314C9" w:rsidRDefault="002F0A16" w:rsidP="00AD026E">
      <w:pPr>
        <w:pStyle w:val="Heading1"/>
        <w:numPr>
          <w:ilvl w:val="0"/>
          <w:numId w:val="0"/>
        </w:numPr>
        <w:ind w:left="360"/>
        <w:rPr>
          <w:b w:val="0"/>
          <w:lang w:val="en-GB"/>
        </w:rPr>
      </w:pPr>
      <w:bookmarkStart w:id="0" w:name="_Toc24031505"/>
      <w:r w:rsidRPr="006314C9">
        <w:rPr>
          <w:lang w:val="en-GB"/>
        </w:rPr>
        <w:lastRenderedPageBreak/>
        <w:t>Rational</w:t>
      </w:r>
      <w:bookmarkEnd w:id="0"/>
    </w:p>
    <w:p w:rsidR="00377F54" w:rsidRPr="006314C9" w:rsidRDefault="002F0A16">
      <w:pPr>
        <w:rPr>
          <w:lang w:val="en-GB"/>
        </w:rPr>
      </w:pPr>
      <w:r w:rsidRPr="006314C9">
        <w:rPr>
          <w:lang w:val="en-GB"/>
        </w:rPr>
        <w:t xml:space="preserve">Chapter 27 – Environment and Climate Change is considered as one of the most comprehensive, technically challenging and costly chapters to implement. Preparation for negotiations requires good understanding of transposition, institutional capacities and </w:t>
      </w:r>
      <w:proofErr w:type="spellStart"/>
      <w:r w:rsidRPr="006314C9">
        <w:rPr>
          <w:lang w:val="en-GB"/>
        </w:rPr>
        <w:t>implementation</w:t>
      </w:r>
      <w:r w:rsidR="00C4759B" w:rsidRPr="006314C9">
        <w:rPr>
          <w:lang w:val="en-GB"/>
        </w:rPr>
        <w:t>situation</w:t>
      </w:r>
      <w:proofErr w:type="spellEnd"/>
      <w:r w:rsidR="00C4759B" w:rsidRPr="006314C9">
        <w:rPr>
          <w:lang w:val="en-GB"/>
        </w:rPr>
        <w:t xml:space="preserve"> in the country</w:t>
      </w:r>
      <w:r w:rsidRPr="006314C9">
        <w:rPr>
          <w:lang w:val="en-GB"/>
        </w:rPr>
        <w:t xml:space="preserve">. </w:t>
      </w:r>
      <w:r w:rsidR="00EE68C1" w:rsidRPr="006314C9">
        <w:rPr>
          <w:lang w:val="en-GB"/>
        </w:rPr>
        <w:t xml:space="preserve">Situation </w:t>
      </w:r>
      <w:proofErr w:type="spellStart"/>
      <w:r w:rsidR="00EE68C1" w:rsidRPr="006314C9">
        <w:rPr>
          <w:lang w:val="en-GB"/>
        </w:rPr>
        <w:t>assessment</w:t>
      </w:r>
      <w:r w:rsidRPr="006314C9">
        <w:rPr>
          <w:lang w:val="en-GB"/>
        </w:rPr>
        <w:t>provides</w:t>
      </w:r>
      <w:proofErr w:type="spellEnd"/>
      <w:r w:rsidRPr="006314C9">
        <w:rPr>
          <w:lang w:val="en-GB"/>
        </w:rPr>
        <w:t xml:space="preserve"> background for </w:t>
      </w:r>
      <w:proofErr w:type="spellStart"/>
      <w:r w:rsidR="00EE68C1" w:rsidRPr="006314C9">
        <w:rPr>
          <w:lang w:val="en-GB"/>
        </w:rPr>
        <w:t>identification</w:t>
      </w:r>
      <w:r w:rsidRPr="006314C9">
        <w:rPr>
          <w:lang w:val="en-GB"/>
        </w:rPr>
        <w:t>of</w:t>
      </w:r>
      <w:proofErr w:type="spellEnd"/>
      <w:r w:rsidRPr="006314C9">
        <w:rPr>
          <w:lang w:val="en-GB"/>
        </w:rPr>
        <w:t xml:space="preserve"> remaining gaps and planning of actions in order to achieve full compliance before accession or to negotiate extended implementation timetable – transitional periods.</w:t>
      </w:r>
    </w:p>
    <w:p w:rsidR="00EE68C1" w:rsidRPr="006314C9" w:rsidRDefault="002F0A16" w:rsidP="00477C0F">
      <w:pPr>
        <w:rPr>
          <w:lang w:val="en-GB"/>
        </w:rPr>
      </w:pPr>
      <w:r w:rsidRPr="006314C9">
        <w:rPr>
          <w:lang w:val="en-GB"/>
        </w:rPr>
        <w:t>Screening Preparatory Assessment (SPA) is part of program Supporting Albanian Negotiations in Environment, Chapter 27 (SANE27) activities aiming to support preparation for Chapter 27 negotiations. SPA methodology has been presented and agreed in the Inter</w:t>
      </w:r>
      <w:r w:rsidR="002A1388" w:rsidRPr="006314C9">
        <w:rPr>
          <w:lang w:val="en-GB"/>
        </w:rPr>
        <w:t>-</w:t>
      </w:r>
      <w:r w:rsidRPr="006314C9">
        <w:rPr>
          <w:lang w:val="en-GB"/>
        </w:rPr>
        <w:t>institutional Working Group for Chapter 27</w:t>
      </w:r>
      <w:r w:rsidR="00EE68C1" w:rsidRPr="006314C9">
        <w:rPr>
          <w:lang w:val="en-GB"/>
        </w:rPr>
        <w:t xml:space="preserve"> and includes four main </w:t>
      </w:r>
      <w:r w:rsidR="00107483" w:rsidRPr="006314C9">
        <w:rPr>
          <w:lang w:val="en-GB"/>
        </w:rPr>
        <w:t>parts</w:t>
      </w:r>
      <w:r w:rsidR="00EE68C1" w:rsidRPr="006314C9">
        <w:rPr>
          <w:lang w:val="en-GB"/>
        </w:rPr>
        <w:t>:</w:t>
      </w:r>
    </w:p>
    <w:p w:rsidR="00377F54" w:rsidRPr="006314C9" w:rsidRDefault="00EE68C1" w:rsidP="00EE68C1">
      <w:pPr>
        <w:pStyle w:val="ListParagraph"/>
        <w:numPr>
          <w:ilvl w:val="0"/>
          <w:numId w:val="32"/>
        </w:numPr>
        <w:rPr>
          <w:lang w:val="en-GB"/>
        </w:rPr>
      </w:pPr>
      <w:r w:rsidRPr="006314C9">
        <w:rPr>
          <w:lang w:val="en-GB"/>
        </w:rPr>
        <w:t>L</w:t>
      </w:r>
      <w:r w:rsidR="002F0A16" w:rsidRPr="006314C9">
        <w:rPr>
          <w:lang w:val="en-GB"/>
        </w:rPr>
        <w:t>egal, institutional and implementation situation assessment for 73 major EU environmental legal acts</w:t>
      </w:r>
      <w:r w:rsidRPr="006314C9">
        <w:rPr>
          <w:lang w:val="en-GB"/>
        </w:rPr>
        <w:t>;</w:t>
      </w:r>
    </w:p>
    <w:p w:rsidR="00EE68C1" w:rsidRPr="006314C9" w:rsidRDefault="00EE68C1" w:rsidP="00EE68C1">
      <w:pPr>
        <w:pStyle w:val="ListParagraph"/>
        <w:numPr>
          <w:ilvl w:val="0"/>
          <w:numId w:val="32"/>
        </w:numPr>
        <w:rPr>
          <w:lang w:val="en-GB"/>
        </w:rPr>
      </w:pPr>
      <w:r w:rsidRPr="006314C9">
        <w:rPr>
          <w:lang w:val="en-GB"/>
        </w:rPr>
        <w:t>Identification of remaining gaps to fully transpose and implement EU environmental requirements;</w:t>
      </w:r>
    </w:p>
    <w:p w:rsidR="004D3496" w:rsidRPr="006314C9" w:rsidRDefault="00EE68C1" w:rsidP="00EE68C1">
      <w:pPr>
        <w:pStyle w:val="ListParagraph"/>
        <w:numPr>
          <w:ilvl w:val="0"/>
          <w:numId w:val="32"/>
        </w:numPr>
        <w:rPr>
          <w:lang w:val="en-GB"/>
        </w:rPr>
      </w:pPr>
      <w:r w:rsidRPr="006314C9">
        <w:rPr>
          <w:lang w:val="en-GB"/>
        </w:rPr>
        <w:t xml:space="preserve">Planning of actions </w:t>
      </w:r>
      <w:r w:rsidR="004D3496" w:rsidRPr="006314C9">
        <w:rPr>
          <w:lang w:val="en-GB"/>
        </w:rPr>
        <w:t>to close identified gaps;</w:t>
      </w:r>
    </w:p>
    <w:p w:rsidR="00590337" w:rsidRPr="006314C9" w:rsidRDefault="00FF2333">
      <w:pPr>
        <w:pStyle w:val="ListParagraph"/>
        <w:numPr>
          <w:ilvl w:val="0"/>
          <w:numId w:val="32"/>
        </w:numPr>
        <w:rPr>
          <w:lang w:val="en-GB"/>
        </w:rPr>
      </w:pPr>
      <w:r w:rsidRPr="006314C9">
        <w:rPr>
          <w:lang w:val="en-GB"/>
        </w:rPr>
        <w:t xml:space="preserve">Identification </w:t>
      </w:r>
      <w:r w:rsidR="004D3496" w:rsidRPr="006314C9">
        <w:rPr>
          <w:lang w:val="en-GB"/>
        </w:rPr>
        <w:t xml:space="preserve">of technical assistance needs to support approximation efforts of the Albanian administration. </w:t>
      </w:r>
    </w:p>
    <w:p w:rsidR="00590337" w:rsidRPr="006314C9" w:rsidRDefault="002F0A16">
      <w:pPr>
        <w:rPr>
          <w:lang w:val="en-GB"/>
        </w:rPr>
      </w:pPr>
      <w:r w:rsidRPr="006314C9">
        <w:rPr>
          <w:lang w:val="en-GB"/>
        </w:rPr>
        <w:t xml:space="preserve">First stage results – draft SPA </w:t>
      </w:r>
      <w:r w:rsidR="004D3496" w:rsidRPr="006314C9">
        <w:rPr>
          <w:lang w:val="en-GB"/>
        </w:rPr>
        <w:t xml:space="preserve">situation assessment and </w:t>
      </w:r>
      <w:proofErr w:type="spellStart"/>
      <w:r w:rsidR="00306AF8" w:rsidRPr="006314C9">
        <w:rPr>
          <w:lang w:val="en-GB"/>
        </w:rPr>
        <w:t>identified</w:t>
      </w:r>
      <w:r w:rsidRPr="006314C9">
        <w:rPr>
          <w:lang w:val="en-GB"/>
        </w:rPr>
        <w:t>gap</w:t>
      </w:r>
      <w:r w:rsidR="004D3496" w:rsidRPr="006314C9">
        <w:rPr>
          <w:lang w:val="en-GB"/>
        </w:rPr>
        <w:t>s</w:t>
      </w:r>
      <w:proofErr w:type="spellEnd"/>
      <w:r w:rsidR="004D3496" w:rsidRPr="006314C9">
        <w:rPr>
          <w:lang w:val="en-GB"/>
        </w:rPr>
        <w:t xml:space="preserve"> </w:t>
      </w:r>
      <w:r w:rsidRPr="006314C9">
        <w:rPr>
          <w:lang w:val="en-GB"/>
        </w:rPr>
        <w:t>- were discussed during March – April 2019. In total</w:t>
      </w:r>
      <w:r w:rsidR="00EE68C1" w:rsidRPr="006314C9">
        <w:rPr>
          <w:lang w:val="en-GB"/>
        </w:rPr>
        <w:t xml:space="preserve">, 71 SPA </w:t>
      </w:r>
      <w:proofErr w:type="spellStart"/>
      <w:r w:rsidR="00EE68C1" w:rsidRPr="006314C9">
        <w:rPr>
          <w:lang w:val="en-GB"/>
        </w:rPr>
        <w:t>document</w:t>
      </w:r>
      <w:r w:rsidR="001970C3" w:rsidRPr="006314C9">
        <w:rPr>
          <w:lang w:val="en-GB"/>
        </w:rPr>
        <w:t>s</w:t>
      </w:r>
      <w:r w:rsidR="004D3496" w:rsidRPr="006314C9">
        <w:rPr>
          <w:lang w:val="en-GB"/>
        </w:rPr>
        <w:t>ha</w:t>
      </w:r>
      <w:r w:rsidR="001970C3" w:rsidRPr="006314C9">
        <w:rPr>
          <w:lang w:val="en-GB"/>
        </w:rPr>
        <w:t>ve</w:t>
      </w:r>
      <w:proofErr w:type="spellEnd"/>
      <w:r w:rsidR="004D3496" w:rsidRPr="006314C9">
        <w:rPr>
          <w:lang w:val="en-GB"/>
        </w:rPr>
        <w:t xml:space="preserve"> been prepared with support of national experts and discussed with representatives of the national administration during</w:t>
      </w:r>
      <w:r w:rsidRPr="006314C9">
        <w:rPr>
          <w:lang w:val="en-GB"/>
        </w:rPr>
        <w:t xml:space="preserve"> 17 SPA meetings</w:t>
      </w:r>
      <w:r w:rsidR="001970C3" w:rsidRPr="006314C9">
        <w:rPr>
          <w:lang w:val="en-GB"/>
        </w:rPr>
        <w:t xml:space="preserve"> (one directive and one decision have been integrated in the main directive SPA)</w:t>
      </w:r>
      <w:r w:rsidR="004D3496" w:rsidRPr="006314C9">
        <w:rPr>
          <w:lang w:val="en-GB"/>
        </w:rPr>
        <w:t>.</w:t>
      </w:r>
    </w:p>
    <w:p w:rsidR="00377F54" w:rsidRPr="006314C9" w:rsidRDefault="002F0A16">
      <w:pPr>
        <w:rPr>
          <w:lang w:val="en-GB"/>
        </w:rPr>
      </w:pPr>
      <w:r w:rsidRPr="006314C9">
        <w:rPr>
          <w:lang w:val="en-GB"/>
        </w:rPr>
        <w:t xml:space="preserve">Next SPA steps, to be completed by end 2019, include planning of actions to close remaining gaps and identification of technical assistance to support </w:t>
      </w:r>
      <w:r w:rsidR="00477C0F" w:rsidRPr="006314C9">
        <w:rPr>
          <w:lang w:val="en-GB"/>
        </w:rPr>
        <w:t xml:space="preserve">these </w:t>
      </w:r>
      <w:proofErr w:type="spellStart"/>
      <w:r w:rsidRPr="006314C9">
        <w:rPr>
          <w:lang w:val="en-GB"/>
        </w:rPr>
        <w:t>actions</w:t>
      </w:r>
      <w:r w:rsidR="00477C0F" w:rsidRPr="006314C9">
        <w:rPr>
          <w:lang w:val="en-GB"/>
        </w:rPr>
        <w:t>.Technical</w:t>
      </w:r>
      <w:proofErr w:type="spellEnd"/>
      <w:r w:rsidR="00477C0F" w:rsidRPr="006314C9">
        <w:rPr>
          <w:lang w:val="en-GB"/>
        </w:rPr>
        <w:t xml:space="preserve"> assistance needs to support transposition, institutional strengthening and implementation of the EU </w:t>
      </w:r>
      <w:proofErr w:type="spellStart"/>
      <w:r w:rsidR="00B95D6A" w:rsidRPr="006314C9">
        <w:rPr>
          <w:i/>
          <w:lang w:val="en-GB"/>
        </w:rPr>
        <w:t>acquis</w:t>
      </w:r>
      <w:r w:rsidR="00477C0F" w:rsidRPr="006314C9">
        <w:rPr>
          <w:lang w:val="en-GB"/>
        </w:rPr>
        <w:t>will</w:t>
      </w:r>
      <w:proofErr w:type="spellEnd"/>
      <w:r w:rsidR="00477C0F" w:rsidRPr="006314C9">
        <w:rPr>
          <w:lang w:val="en-GB"/>
        </w:rPr>
        <w:t xml:space="preserve"> be summarised in the </w:t>
      </w:r>
      <w:proofErr w:type="spellStart"/>
      <w:r w:rsidRPr="006314C9">
        <w:rPr>
          <w:lang w:val="en-GB"/>
        </w:rPr>
        <w:t>Need</w:t>
      </w:r>
      <w:r w:rsidR="00477C0F" w:rsidRPr="006314C9">
        <w:rPr>
          <w:lang w:val="en-GB"/>
        </w:rPr>
        <w:t>sA</w:t>
      </w:r>
      <w:r w:rsidRPr="006314C9">
        <w:rPr>
          <w:lang w:val="en-GB"/>
        </w:rPr>
        <w:t>ssessment</w:t>
      </w:r>
      <w:proofErr w:type="spellEnd"/>
      <w:r w:rsidRPr="006314C9">
        <w:rPr>
          <w:lang w:val="en-GB"/>
        </w:rPr>
        <w:t xml:space="preserve"> </w:t>
      </w:r>
      <w:r w:rsidR="00477C0F" w:rsidRPr="006314C9">
        <w:rPr>
          <w:lang w:val="en-GB"/>
        </w:rPr>
        <w:t>D</w:t>
      </w:r>
      <w:r w:rsidRPr="006314C9">
        <w:rPr>
          <w:lang w:val="en-GB"/>
        </w:rPr>
        <w:t>ocument (NAD)</w:t>
      </w:r>
      <w:r w:rsidR="00EE68C1" w:rsidRPr="006314C9">
        <w:rPr>
          <w:lang w:val="en-GB"/>
        </w:rPr>
        <w:t>.</w:t>
      </w:r>
      <w:r w:rsidR="00E41809" w:rsidRPr="006314C9">
        <w:rPr>
          <w:lang w:val="en-GB"/>
        </w:rPr>
        <w:t xml:space="preserve">Planning and targeting TA </w:t>
      </w:r>
      <w:proofErr w:type="spellStart"/>
      <w:r w:rsidR="00E41809" w:rsidRPr="006314C9">
        <w:rPr>
          <w:lang w:val="en-GB"/>
        </w:rPr>
        <w:t>supportis</w:t>
      </w:r>
      <w:proofErr w:type="spellEnd"/>
      <w:r w:rsidR="00E41809" w:rsidRPr="006314C9">
        <w:rPr>
          <w:lang w:val="en-GB"/>
        </w:rPr>
        <w:t xml:space="preserve"> considered as necessary part </w:t>
      </w:r>
      <w:r w:rsidR="00306AF8" w:rsidRPr="006314C9">
        <w:rPr>
          <w:lang w:val="en-GB"/>
        </w:rPr>
        <w:t>of the</w:t>
      </w:r>
      <w:r w:rsidR="00E41809" w:rsidRPr="006314C9">
        <w:rPr>
          <w:lang w:val="en-GB"/>
        </w:rPr>
        <w:t xml:space="preserve"> system for preparation for Chapter 27 negotiations in Albania.</w:t>
      </w:r>
    </w:p>
    <w:p w:rsidR="00E41809" w:rsidRPr="006314C9" w:rsidRDefault="00107483" w:rsidP="00477C0F">
      <w:pPr>
        <w:rPr>
          <w:lang w:val="en-GB"/>
        </w:rPr>
      </w:pPr>
      <w:r w:rsidRPr="006314C9">
        <w:rPr>
          <w:lang w:val="en-GB"/>
        </w:rPr>
        <w:t xml:space="preserve">Approximation analysis is always directive/ regulation specific and each EU legal act shall be considered individually consulting appropriate SPA document. Nevertheless, </w:t>
      </w:r>
      <w:r w:rsidR="00157C65" w:rsidRPr="006314C9">
        <w:rPr>
          <w:lang w:val="en-GB"/>
        </w:rPr>
        <w:t xml:space="preserve">short summary of key findings regarding transposition, institutional system development and implementation (having number of limitations in mind) do allow </w:t>
      </w:r>
      <w:proofErr w:type="gramStart"/>
      <w:r w:rsidR="00157C65" w:rsidRPr="006314C9">
        <w:rPr>
          <w:lang w:val="en-GB"/>
        </w:rPr>
        <w:t>to understand</w:t>
      </w:r>
      <w:proofErr w:type="gramEnd"/>
      <w:r w:rsidR="00157C65" w:rsidRPr="006314C9">
        <w:rPr>
          <w:lang w:val="en-GB"/>
        </w:rPr>
        <w:t xml:space="preserve"> overall picture of the situation. </w:t>
      </w:r>
      <w:r w:rsidRPr="006314C9">
        <w:rPr>
          <w:lang w:val="en-GB"/>
        </w:rPr>
        <w:t>Thi</w:t>
      </w:r>
      <w:r w:rsidR="004D3496" w:rsidRPr="006314C9">
        <w:rPr>
          <w:lang w:val="en-GB"/>
        </w:rPr>
        <w:t xml:space="preserve">s report </w:t>
      </w:r>
      <w:r w:rsidR="00157C65" w:rsidRPr="006314C9">
        <w:rPr>
          <w:lang w:val="en-GB"/>
        </w:rPr>
        <w:t xml:space="preserve">is aiming for such a brief assessment and </w:t>
      </w:r>
      <w:r w:rsidR="00306AF8" w:rsidRPr="006314C9">
        <w:rPr>
          <w:lang w:val="en-GB"/>
        </w:rPr>
        <w:t>consists of</w:t>
      </w:r>
      <w:r w:rsidR="00D553A2" w:rsidRPr="006314C9">
        <w:rPr>
          <w:lang w:val="en-GB"/>
        </w:rPr>
        <w:t xml:space="preserve"> two parts – (1) brief overall Chapter 27 assessment and (2) sub-chapter summaries</w:t>
      </w:r>
      <w:r w:rsidR="00157C65" w:rsidRPr="006314C9">
        <w:rPr>
          <w:lang w:val="en-GB"/>
        </w:rPr>
        <w:t xml:space="preserve">. </w:t>
      </w:r>
      <w:r w:rsidR="007F36A1" w:rsidRPr="006314C9">
        <w:rPr>
          <w:lang w:val="en-GB"/>
        </w:rPr>
        <w:t>It has to be noted, that g</w:t>
      </w:r>
      <w:r w:rsidR="002F0A16" w:rsidRPr="006314C9">
        <w:rPr>
          <w:lang w:val="en-GB"/>
        </w:rPr>
        <w:t xml:space="preserve">eneralization of some of aspects, for example, level of transposition for </w:t>
      </w:r>
      <w:r w:rsidR="00713855" w:rsidRPr="006314C9">
        <w:rPr>
          <w:lang w:val="en-GB"/>
        </w:rPr>
        <w:t xml:space="preserve">all </w:t>
      </w:r>
      <w:r w:rsidR="002F0A16" w:rsidRPr="006314C9">
        <w:rPr>
          <w:lang w:val="en-GB"/>
        </w:rPr>
        <w:t xml:space="preserve">subsector, is provided for orientation </w:t>
      </w:r>
      <w:r w:rsidR="00713855" w:rsidRPr="006314C9">
        <w:rPr>
          <w:lang w:val="en-GB"/>
        </w:rPr>
        <w:t xml:space="preserve">purposes </w:t>
      </w:r>
      <w:r w:rsidR="002F0A16" w:rsidRPr="006314C9">
        <w:rPr>
          <w:lang w:val="en-GB"/>
        </w:rPr>
        <w:t xml:space="preserve">only as an indication of </w:t>
      </w:r>
      <w:r w:rsidR="00713855" w:rsidRPr="006314C9">
        <w:rPr>
          <w:lang w:val="en-GB"/>
        </w:rPr>
        <w:t>existing</w:t>
      </w:r>
      <w:r w:rsidR="002F0A16" w:rsidRPr="006314C9">
        <w:rPr>
          <w:lang w:val="en-GB"/>
        </w:rPr>
        <w:t xml:space="preserve"> gap and shall be considered as a trend rather than the value. </w:t>
      </w:r>
      <w:r w:rsidR="00713855" w:rsidRPr="006314C9">
        <w:rPr>
          <w:lang w:val="en-GB"/>
        </w:rPr>
        <w:t xml:space="preserve">Even if transposition level is considered advanced (more than 70%), some important articles can still remain not transposed and each case has to be considered </w:t>
      </w:r>
      <w:r w:rsidR="00157C65" w:rsidRPr="006314C9">
        <w:rPr>
          <w:lang w:val="en-GB"/>
        </w:rPr>
        <w:t>individually</w:t>
      </w:r>
      <w:r w:rsidR="00713855" w:rsidRPr="006314C9">
        <w:rPr>
          <w:lang w:val="en-GB"/>
        </w:rPr>
        <w:t xml:space="preserve">. </w:t>
      </w:r>
      <w:r w:rsidR="000A1D07" w:rsidRPr="006314C9">
        <w:rPr>
          <w:lang w:val="en-GB"/>
        </w:rPr>
        <w:t>Similarly, i</w:t>
      </w:r>
      <w:r w:rsidR="00713855" w:rsidRPr="006314C9">
        <w:rPr>
          <w:lang w:val="en-GB"/>
        </w:rPr>
        <w:t xml:space="preserve">n case of institutional system, </w:t>
      </w:r>
      <w:r w:rsidR="000A1D07" w:rsidRPr="006314C9">
        <w:rPr>
          <w:lang w:val="en-GB"/>
        </w:rPr>
        <w:t>indication</w:t>
      </w:r>
      <w:r w:rsidR="00306AF8" w:rsidRPr="006314C9">
        <w:rPr>
          <w:lang w:val="en-GB"/>
        </w:rPr>
        <w:t>,</w:t>
      </w:r>
      <w:r w:rsidR="000A1D07" w:rsidRPr="006314C9">
        <w:rPr>
          <w:lang w:val="en-GB"/>
        </w:rPr>
        <w:t xml:space="preserve"> that competent authority is not appointed yet, </w:t>
      </w:r>
      <w:r w:rsidR="00306AF8" w:rsidRPr="006314C9">
        <w:rPr>
          <w:lang w:val="en-GB"/>
        </w:rPr>
        <w:t xml:space="preserve">for this stage of preparation for </w:t>
      </w:r>
      <w:proofErr w:type="spellStart"/>
      <w:r w:rsidR="00306AF8" w:rsidRPr="006314C9">
        <w:rPr>
          <w:lang w:val="en-GB"/>
        </w:rPr>
        <w:t>negotiations</w:t>
      </w:r>
      <w:proofErr w:type="gramStart"/>
      <w:r w:rsidR="00157C65" w:rsidRPr="006314C9">
        <w:rPr>
          <w:lang w:val="en-GB"/>
        </w:rPr>
        <w:t>,</w:t>
      </w:r>
      <w:r w:rsidR="000A1D07" w:rsidRPr="006314C9">
        <w:rPr>
          <w:lang w:val="en-GB"/>
        </w:rPr>
        <w:t>signals</w:t>
      </w:r>
      <w:proofErr w:type="spellEnd"/>
      <w:proofErr w:type="gramEnd"/>
      <w:r w:rsidR="000A1D07" w:rsidRPr="006314C9">
        <w:rPr>
          <w:lang w:val="en-GB"/>
        </w:rPr>
        <w:t xml:space="preserve"> </w:t>
      </w:r>
      <w:r w:rsidR="00157C65" w:rsidRPr="006314C9">
        <w:rPr>
          <w:lang w:val="en-GB"/>
        </w:rPr>
        <w:t xml:space="preserve">to </w:t>
      </w:r>
      <w:r w:rsidR="000A1D07" w:rsidRPr="006314C9">
        <w:rPr>
          <w:lang w:val="en-GB"/>
        </w:rPr>
        <w:t>potentially serious approximation problem</w:t>
      </w:r>
      <w:r w:rsidR="00157C65" w:rsidRPr="006314C9">
        <w:rPr>
          <w:lang w:val="en-GB"/>
        </w:rPr>
        <w:t xml:space="preserve"> even if planning of institutional strengthening measures would require much more detailed analysis. Brief a</w:t>
      </w:r>
      <w:r w:rsidR="004A3973" w:rsidRPr="006314C9">
        <w:rPr>
          <w:lang w:val="en-GB"/>
        </w:rPr>
        <w:t xml:space="preserve">ssessment </w:t>
      </w:r>
      <w:r w:rsidR="00157C65" w:rsidRPr="006314C9">
        <w:rPr>
          <w:lang w:val="en-GB"/>
        </w:rPr>
        <w:t xml:space="preserve">of </w:t>
      </w:r>
      <w:r w:rsidR="004A3973" w:rsidRPr="006314C9">
        <w:rPr>
          <w:lang w:val="en-GB"/>
        </w:rPr>
        <w:t xml:space="preserve">implementation </w:t>
      </w:r>
      <w:r w:rsidR="00157C65" w:rsidRPr="006314C9">
        <w:rPr>
          <w:lang w:val="en-GB"/>
        </w:rPr>
        <w:t xml:space="preserve">level </w:t>
      </w:r>
      <w:r w:rsidR="00E41809" w:rsidRPr="006314C9">
        <w:rPr>
          <w:lang w:val="en-GB"/>
        </w:rPr>
        <w:t xml:space="preserve">shall help identifying size of required effort and indicate </w:t>
      </w:r>
      <w:r w:rsidR="00C4759B" w:rsidRPr="006314C9">
        <w:rPr>
          <w:lang w:val="en-GB"/>
        </w:rPr>
        <w:t xml:space="preserve">to </w:t>
      </w:r>
      <w:r w:rsidR="004A3973" w:rsidRPr="006314C9">
        <w:rPr>
          <w:lang w:val="en-GB"/>
        </w:rPr>
        <w:t xml:space="preserve">potential </w:t>
      </w:r>
      <w:r w:rsidR="00E41809" w:rsidRPr="006314C9">
        <w:rPr>
          <w:lang w:val="en-GB"/>
        </w:rPr>
        <w:t xml:space="preserve">priorities for </w:t>
      </w:r>
      <w:r w:rsidR="00C4759B" w:rsidRPr="006314C9">
        <w:rPr>
          <w:lang w:val="en-GB"/>
        </w:rPr>
        <w:t xml:space="preserve">actions </w:t>
      </w:r>
      <w:r w:rsidR="00E41809" w:rsidRPr="006314C9">
        <w:rPr>
          <w:lang w:val="en-GB"/>
        </w:rPr>
        <w:t>planning.</w:t>
      </w:r>
    </w:p>
    <w:p w:rsidR="00910BE7" w:rsidRPr="006314C9" w:rsidRDefault="002F0A16">
      <w:pPr>
        <w:rPr>
          <w:lang w:val="en-GB"/>
        </w:rPr>
      </w:pPr>
      <w:r w:rsidRPr="006314C9">
        <w:rPr>
          <w:lang w:val="en-GB"/>
        </w:rPr>
        <w:t xml:space="preserve">It is </w:t>
      </w:r>
      <w:r w:rsidR="00E41809" w:rsidRPr="006314C9">
        <w:rPr>
          <w:lang w:val="en-GB"/>
        </w:rPr>
        <w:t>well</w:t>
      </w:r>
      <w:r w:rsidRPr="006314C9">
        <w:rPr>
          <w:lang w:val="en-GB"/>
        </w:rPr>
        <w:t xml:space="preserve"> understood, that further approximation activities dealing with specific aspects of the </w:t>
      </w:r>
      <w:proofErr w:type="spellStart"/>
      <w:r w:rsidRPr="006314C9">
        <w:rPr>
          <w:lang w:val="en-GB"/>
        </w:rPr>
        <w:t>acquis</w:t>
      </w:r>
      <w:proofErr w:type="spellEnd"/>
      <w:r w:rsidRPr="006314C9">
        <w:rPr>
          <w:lang w:val="en-GB"/>
        </w:rPr>
        <w:t xml:space="preserve"> will require </w:t>
      </w:r>
      <w:r w:rsidR="00157C65" w:rsidRPr="006314C9">
        <w:rPr>
          <w:lang w:val="en-GB"/>
        </w:rPr>
        <w:t xml:space="preserve">even </w:t>
      </w:r>
      <w:r w:rsidRPr="006314C9">
        <w:rPr>
          <w:lang w:val="en-GB"/>
        </w:rPr>
        <w:t xml:space="preserve">more detailed analysis compared to the achieved during the SPA process. </w:t>
      </w:r>
      <w:r w:rsidR="00157C65" w:rsidRPr="006314C9">
        <w:rPr>
          <w:lang w:val="en-GB"/>
        </w:rPr>
        <w:t xml:space="preserve">Approximation is </w:t>
      </w:r>
      <w:r w:rsidR="00910BE7" w:rsidRPr="006314C9">
        <w:rPr>
          <w:lang w:val="en-GB"/>
        </w:rPr>
        <w:t xml:space="preserve">a </w:t>
      </w:r>
      <w:r w:rsidR="00157C65" w:rsidRPr="006314C9">
        <w:rPr>
          <w:lang w:val="en-GB"/>
        </w:rPr>
        <w:t xml:space="preserve">process which requires constant </w:t>
      </w:r>
      <w:r w:rsidR="00910BE7" w:rsidRPr="006314C9">
        <w:rPr>
          <w:lang w:val="en-GB"/>
        </w:rPr>
        <w:t>re-</w:t>
      </w:r>
      <w:r w:rsidR="00157C65" w:rsidRPr="006314C9">
        <w:rPr>
          <w:lang w:val="en-GB"/>
        </w:rPr>
        <w:t xml:space="preserve">assessment of situation </w:t>
      </w:r>
      <w:r w:rsidR="00910BE7" w:rsidRPr="006314C9">
        <w:rPr>
          <w:lang w:val="en-GB"/>
        </w:rPr>
        <w:t xml:space="preserve">in order to understand if taken actions provided expected results, if gaps are still remaining and if additional actions are </w:t>
      </w:r>
      <w:proofErr w:type="spellStart"/>
      <w:r w:rsidR="00910BE7" w:rsidRPr="006314C9">
        <w:rPr>
          <w:lang w:val="en-GB"/>
        </w:rPr>
        <w:t>neededto</w:t>
      </w:r>
      <w:proofErr w:type="spellEnd"/>
      <w:r w:rsidR="00910BE7" w:rsidRPr="006314C9">
        <w:rPr>
          <w:lang w:val="en-GB"/>
        </w:rPr>
        <w:t xml:space="preserve"> close them. </w:t>
      </w:r>
    </w:p>
    <w:p w:rsidR="007B0BC7" w:rsidRPr="006314C9" w:rsidRDefault="002F0A16">
      <w:pPr>
        <w:rPr>
          <w:lang w:val="en-GB"/>
        </w:rPr>
      </w:pPr>
      <w:r w:rsidRPr="006314C9">
        <w:rPr>
          <w:lang w:val="en-GB"/>
        </w:rPr>
        <w:lastRenderedPageBreak/>
        <w:t>Information provided in this report is designed to help decision mak</w:t>
      </w:r>
      <w:r w:rsidR="00B5124E" w:rsidRPr="006314C9">
        <w:rPr>
          <w:lang w:val="en-GB"/>
        </w:rPr>
        <w:t xml:space="preserve">ers to identify main problems, remaining gaps and to plan prioritised actions </w:t>
      </w:r>
      <w:r w:rsidRPr="006314C9">
        <w:rPr>
          <w:lang w:val="en-GB"/>
        </w:rPr>
        <w:t xml:space="preserve">in order to achieve higher level of approximation </w:t>
      </w:r>
      <w:r w:rsidR="00980E17" w:rsidRPr="006314C9">
        <w:rPr>
          <w:lang w:val="en-GB"/>
        </w:rPr>
        <w:t xml:space="preserve">while </w:t>
      </w:r>
      <w:proofErr w:type="spellStart"/>
      <w:r w:rsidRPr="006314C9">
        <w:rPr>
          <w:lang w:val="en-GB"/>
        </w:rPr>
        <w:t>prepar</w:t>
      </w:r>
      <w:r w:rsidR="00980E17" w:rsidRPr="006314C9">
        <w:rPr>
          <w:lang w:val="en-GB"/>
        </w:rPr>
        <w:t>ing</w:t>
      </w:r>
      <w:r w:rsidRPr="006314C9">
        <w:rPr>
          <w:lang w:val="en-GB"/>
        </w:rPr>
        <w:t>for</w:t>
      </w:r>
      <w:proofErr w:type="spellEnd"/>
      <w:r w:rsidRPr="006314C9">
        <w:rPr>
          <w:lang w:val="en-GB"/>
        </w:rPr>
        <w:t xml:space="preserve"> Chapter 27 negotiations. </w:t>
      </w:r>
    </w:p>
    <w:p w:rsidR="00416063" w:rsidRPr="006314C9" w:rsidRDefault="00377F54" w:rsidP="007B0BC7">
      <w:pPr>
        <w:spacing w:after="0"/>
        <w:rPr>
          <w:rFonts w:cs="Times New Roman"/>
          <w:b/>
          <w:i/>
          <w:lang w:val="en-GB"/>
        </w:rPr>
      </w:pPr>
      <w:r w:rsidRPr="006314C9">
        <w:rPr>
          <w:rFonts w:cs="Times New Roman"/>
          <w:b/>
          <w:i/>
          <w:lang w:val="en-GB"/>
        </w:rPr>
        <w:t>Disclaimer</w:t>
      </w:r>
    </w:p>
    <w:p w:rsidR="00F557C5" w:rsidRPr="006314C9" w:rsidRDefault="00416063" w:rsidP="00152F5E">
      <w:pPr>
        <w:spacing w:before="0" w:after="200"/>
        <w:jc w:val="left"/>
        <w:rPr>
          <w:rFonts w:cs="Times New Roman"/>
          <w:b/>
          <w:lang w:val="en-GB"/>
        </w:rPr>
      </w:pPr>
      <w:r w:rsidRPr="006314C9">
        <w:rPr>
          <w:rFonts w:cs="Times New Roman"/>
          <w:i/>
          <w:lang w:val="en-GB"/>
        </w:rPr>
        <w:t xml:space="preserve">Screening </w:t>
      </w:r>
      <w:r w:rsidR="00FE05FA" w:rsidRPr="006314C9">
        <w:rPr>
          <w:rFonts w:cs="Times New Roman"/>
          <w:i/>
          <w:lang w:val="en-GB"/>
        </w:rPr>
        <w:t xml:space="preserve">Preparatory Assessment </w:t>
      </w:r>
      <w:r w:rsidRPr="006314C9">
        <w:rPr>
          <w:rFonts w:cs="Times New Roman"/>
          <w:i/>
          <w:lang w:val="en-GB"/>
        </w:rPr>
        <w:t xml:space="preserve">done by SANE27 is prepared as a tool for guiding the preparatory activities for Chapter 27 negotiations as part of the program activities and </w:t>
      </w:r>
      <w:r w:rsidR="000B711D" w:rsidRPr="006314C9">
        <w:rPr>
          <w:rFonts w:cs="Times New Roman"/>
          <w:i/>
          <w:lang w:val="en-GB"/>
        </w:rPr>
        <w:t xml:space="preserve">is considered </w:t>
      </w:r>
      <w:r w:rsidR="002102E9" w:rsidRPr="006314C9">
        <w:rPr>
          <w:rFonts w:cs="Times New Roman"/>
          <w:i/>
          <w:lang w:val="en-GB"/>
        </w:rPr>
        <w:t>solely</w:t>
      </w:r>
      <w:r w:rsidR="000B711D" w:rsidRPr="006314C9">
        <w:rPr>
          <w:rFonts w:cs="Times New Roman"/>
          <w:i/>
          <w:lang w:val="en-GB"/>
        </w:rPr>
        <w:t xml:space="preserve"> as </w:t>
      </w:r>
      <w:r w:rsidR="00561747" w:rsidRPr="006314C9">
        <w:rPr>
          <w:rFonts w:cs="Times New Roman"/>
          <w:i/>
          <w:lang w:val="en-GB"/>
        </w:rPr>
        <w:t xml:space="preserve">a </w:t>
      </w:r>
      <w:r w:rsidR="000B711D" w:rsidRPr="006314C9">
        <w:rPr>
          <w:rFonts w:cs="Times New Roman"/>
          <w:i/>
          <w:lang w:val="en-GB"/>
        </w:rPr>
        <w:t xml:space="preserve">responsibility of SANE. </w:t>
      </w:r>
      <w:r w:rsidR="002102E9" w:rsidRPr="006314C9">
        <w:rPr>
          <w:rFonts w:cs="Times New Roman"/>
          <w:i/>
          <w:lang w:val="en-GB"/>
        </w:rPr>
        <w:t>It is prepared at the best of knowledge of the national experts engaged in its preparation and information provided by representatives of relevant Albanian authorities</w:t>
      </w:r>
      <w:r w:rsidR="00E64151" w:rsidRPr="006314C9">
        <w:rPr>
          <w:rFonts w:cs="Times New Roman"/>
          <w:i/>
          <w:lang w:val="en-GB"/>
        </w:rPr>
        <w:t xml:space="preserve"> and </w:t>
      </w:r>
      <w:r w:rsidR="00D96DA9" w:rsidRPr="006314C9">
        <w:rPr>
          <w:rFonts w:cs="Times New Roman"/>
          <w:i/>
          <w:lang w:val="en-GB"/>
        </w:rPr>
        <w:t>reflect</w:t>
      </w:r>
      <w:r w:rsidR="00E64151" w:rsidRPr="006314C9">
        <w:rPr>
          <w:rFonts w:cs="Times New Roman"/>
          <w:i/>
          <w:lang w:val="en-GB"/>
        </w:rPr>
        <w:t xml:space="preserve">s </w:t>
      </w:r>
      <w:r w:rsidR="00D96DA9" w:rsidRPr="006314C9">
        <w:rPr>
          <w:rFonts w:cs="Times New Roman"/>
          <w:i/>
          <w:lang w:val="en-GB"/>
        </w:rPr>
        <w:t xml:space="preserve">situation </w:t>
      </w:r>
      <w:r w:rsidR="00E64151" w:rsidRPr="006314C9">
        <w:rPr>
          <w:rFonts w:cs="Times New Roman"/>
          <w:i/>
          <w:lang w:val="en-GB"/>
        </w:rPr>
        <w:t xml:space="preserve">as it stands </w:t>
      </w:r>
      <w:r w:rsidR="00CA442C" w:rsidRPr="006314C9">
        <w:rPr>
          <w:rFonts w:cs="Times New Roman"/>
          <w:i/>
          <w:lang w:val="en-GB"/>
        </w:rPr>
        <w:t xml:space="preserve">for </w:t>
      </w:r>
      <w:r w:rsidR="00D96DA9" w:rsidRPr="006314C9">
        <w:rPr>
          <w:rFonts w:cs="Times New Roman"/>
          <w:i/>
          <w:lang w:val="en-GB"/>
        </w:rPr>
        <w:t>September 2019</w:t>
      </w:r>
      <w:r w:rsidR="00E64151" w:rsidRPr="006314C9">
        <w:rPr>
          <w:rFonts w:cs="Times New Roman"/>
          <w:i/>
          <w:lang w:val="en-GB"/>
        </w:rPr>
        <w:t xml:space="preserve">. </w:t>
      </w:r>
      <w:r w:rsidR="00F557C5" w:rsidRPr="006314C9">
        <w:rPr>
          <w:rFonts w:cs="Times New Roman"/>
          <w:b/>
          <w:lang w:val="en-GB"/>
        </w:rPr>
        <w:br w:type="page"/>
      </w:r>
    </w:p>
    <w:p w:rsidR="00A012BB" w:rsidRPr="006314C9" w:rsidRDefault="00A012BB" w:rsidP="00B27FEA">
      <w:pPr>
        <w:spacing w:after="0"/>
        <w:jc w:val="center"/>
        <w:rPr>
          <w:rFonts w:cs="Times New Roman"/>
          <w:b/>
          <w:lang w:val="en-GB"/>
        </w:rPr>
      </w:pPr>
    </w:p>
    <w:sdt>
      <w:sdtPr>
        <w:rPr>
          <w:rFonts w:ascii="Times New Roman" w:eastAsiaTheme="minorEastAsia" w:hAnsi="Times New Roman" w:cs="Times New Roman"/>
          <w:b w:val="0"/>
          <w:bCs w:val="0"/>
          <w:color w:val="auto"/>
          <w:sz w:val="22"/>
          <w:szCs w:val="22"/>
          <w:lang w:val="en-GB"/>
        </w:rPr>
        <w:id w:val="-1387332967"/>
        <w:docPartObj>
          <w:docPartGallery w:val="Table of Contents"/>
          <w:docPartUnique/>
        </w:docPartObj>
      </w:sdtPr>
      <w:sdtContent>
        <w:p w:rsidR="00A012BB" w:rsidRPr="006314C9" w:rsidRDefault="00A012BB" w:rsidP="00152F5E">
          <w:pPr>
            <w:pStyle w:val="TOCHeading"/>
            <w:spacing w:line="240" w:lineRule="auto"/>
            <w:rPr>
              <w:rFonts w:ascii="Times New Roman" w:hAnsi="Times New Roman" w:cs="Times New Roman"/>
              <w:b w:val="0"/>
              <w:color w:val="auto"/>
              <w:sz w:val="22"/>
              <w:szCs w:val="22"/>
              <w:lang w:val="en-GB"/>
            </w:rPr>
          </w:pPr>
          <w:r w:rsidRPr="006314C9">
            <w:rPr>
              <w:rFonts w:ascii="Times New Roman" w:hAnsi="Times New Roman" w:cs="Times New Roman"/>
              <w:color w:val="auto"/>
              <w:sz w:val="22"/>
              <w:szCs w:val="22"/>
              <w:lang w:val="en-GB"/>
            </w:rPr>
            <w:t>Table of Contents</w:t>
          </w:r>
          <w:bookmarkStart w:id="1" w:name="_GoBack"/>
          <w:bookmarkEnd w:id="1"/>
        </w:p>
        <w:p w:rsidR="0013230D" w:rsidRPr="00363B6B" w:rsidRDefault="00502274" w:rsidP="00363B6B">
          <w:pPr>
            <w:pStyle w:val="TOC1"/>
            <w:rPr>
              <w:sz w:val="24"/>
            </w:rPr>
          </w:pPr>
          <w:r w:rsidRPr="00502274">
            <w:rPr>
              <w:noProof w:val="0"/>
            </w:rPr>
            <w:fldChar w:fldCharType="begin"/>
          </w:r>
          <w:r w:rsidR="00A012BB" w:rsidRPr="0013230D">
            <w:rPr>
              <w:noProof w:val="0"/>
            </w:rPr>
            <w:instrText xml:space="preserve"> TOC \o "1-3" \h \z \u </w:instrText>
          </w:r>
          <w:r w:rsidRPr="00502274">
            <w:rPr>
              <w:noProof w:val="0"/>
            </w:rPr>
            <w:fldChar w:fldCharType="separate"/>
          </w:r>
          <w:hyperlink w:anchor="_Toc24031505" w:history="1">
            <w:r w:rsidR="0013230D" w:rsidRPr="00363B6B">
              <w:rPr>
                <w:rStyle w:val="Hyperlink"/>
                <w:i w:val="0"/>
              </w:rPr>
              <w:t>Rational</w:t>
            </w:r>
            <w:r w:rsidR="0013230D" w:rsidRPr="00363B6B">
              <w:rPr>
                <w:webHidden/>
              </w:rPr>
              <w:tab/>
            </w:r>
            <w:r w:rsidRPr="00363B6B">
              <w:rPr>
                <w:webHidden/>
              </w:rPr>
              <w:fldChar w:fldCharType="begin"/>
            </w:r>
            <w:r w:rsidR="0013230D" w:rsidRPr="00363B6B">
              <w:rPr>
                <w:webHidden/>
              </w:rPr>
              <w:instrText xml:space="preserve"> PAGEREF _Toc24031505 \h </w:instrText>
            </w:r>
            <w:r w:rsidRPr="00363B6B">
              <w:rPr>
                <w:webHidden/>
              </w:rPr>
            </w:r>
            <w:r w:rsidRPr="00363B6B">
              <w:rPr>
                <w:webHidden/>
              </w:rPr>
              <w:fldChar w:fldCharType="separate"/>
            </w:r>
            <w:r w:rsidR="0013230D" w:rsidRPr="00363B6B">
              <w:rPr>
                <w:webHidden/>
              </w:rPr>
              <w:t>1</w:t>
            </w:r>
            <w:r w:rsidRPr="00363B6B">
              <w:rPr>
                <w:webHidden/>
              </w:rPr>
              <w:fldChar w:fldCharType="end"/>
            </w:r>
          </w:hyperlink>
        </w:p>
        <w:p w:rsidR="0013230D" w:rsidRPr="0013230D" w:rsidRDefault="00502274" w:rsidP="00363B6B">
          <w:pPr>
            <w:pStyle w:val="TOC1"/>
            <w:rPr>
              <w:sz w:val="24"/>
            </w:rPr>
          </w:pPr>
          <w:hyperlink w:anchor="_Toc24031506" w:history="1">
            <w:r w:rsidR="0013230D" w:rsidRPr="0013230D">
              <w:rPr>
                <w:rStyle w:val="Hyperlink"/>
              </w:rPr>
              <w:t>List of abbreviations</w:t>
            </w:r>
            <w:r w:rsidR="0013230D" w:rsidRPr="0013230D">
              <w:rPr>
                <w:webHidden/>
              </w:rPr>
              <w:tab/>
            </w:r>
            <w:r w:rsidRPr="0013230D">
              <w:rPr>
                <w:webHidden/>
              </w:rPr>
              <w:fldChar w:fldCharType="begin"/>
            </w:r>
            <w:r w:rsidR="0013230D" w:rsidRPr="0013230D">
              <w:rPr>
                <w:webHidden/>
              </w:rPr>
              <w:instrText xml:space="preserve"> PAGEREF _Toc24031506 \h </w:instrText>
            </w:r>
            <w:r w:rsidRPr="0013230D">
              <w:rPr>
                <w:webHidden/>
              </w:rPr>
            </w:r>
            <w:r w:rsidRPr="0013230D">
              <w:rPr>
                <w:webHidden/>
              </w:rPr>
              <w:fldChar w:fldCharType="separate"/>
            </w:r>
            <w:r w:rsidR="0013230D" w:rsidRPr="0013230D">
              <w:rPr>
                <w:webHidden/>
              </w:rPr>
              <w:t>4</w:t>
            </w:r>
            <w:r w:rsidRPr="0013230D">
              <w:rPr>
                <w:webHidden/>
              </w:rPr>
              <w:fldChar w:fldCharType="end"/>
            </w:r>
          </w:hyperlink>
        </w:p>
        <w:p w:rsidR="0013230D" w:rsidRPr="0013230D" w:rsidRDefault="00502274" w:rsidP="00363B6B">
          <w:pPr>
            <w:pStyle w:val="TOC1"/>
            <w:rPr>
              <w:sz w:val="24"/>
            </w:rPr>
          </w:pPr>
          <w:hyperlink w:anchor="_Toc24031507" w:history="1">
            <w:r w:rsidR="0013230D" w:rsidRPr="0013230D">
              <w:rPr>
                <w:rStyle w:val="Hyperlink"/>
              </w:rPr>
              <w:t>Chapter 27 summary</w:t>
            </w:r>
            <w:r w:rsidR="0013230D" w:rsidRPr="0013230D">
              <w:rPr>
                <w:webHidden/>
              </w:rPr>
              <w:tab/>
            </w:r>
            <w:r w:rsidRPr="0013230D">
              <w:rPr>
                <w:webHidden/>
              </w:rPr>
              <w:fldChar w:fldCharType="begin"/>
            </w:r>
            <w:r w:rsidR="0013230D" w:rsidRPr="0013230D">
              <w:rPr>
                <w:webHidden/>
              </w:rPr>
              <w:instrText xml:space="preserve"> PAGEREF _Toc24031507 \h </w:instrText>
            </w:r>
            <w:r w:rsidRPr="0013230D">
              <w:rPr>
                <w:webHidden/>
              </w:rPr>
            </w:r>
            <w:r w:rsidRPr="0013230D">
              <w:rPr>
                <w:webHidden/>
              </w:rPr>
              <w:fldChar w:fldCharType="separate"/>
            </w:r>
            <w:r w:rsidR="0013230D" w:rsidRPr="0013230D">
              <w:rPr>
                <w:webHidden/>
              </w:rPr>
              <w:t>5</w:t>
            </w:r>
            <w:r w:rsidRPr="0013230D">
              <w:rPr>
                <w:webHidden/>
              </w:rPr>
              <w:fldChar w:fldCharType="end"/>
            </w:r>
          </w:hyperlink>
        </w:p>
        <w:p w:rsidR="0013230D" w:rsidRPr="0013230D" w:rsidRDefault="00502274" w:rsidP="00363B6B">
          <w:pPr>
            <w:pStyle w:val="TOC1"/>
            <w:rPr>
              <w:sz w:val="24"/>
            </w:rPr>
          </w:pPr>
          <w:hyperlink w:anchor="_Toc24031508" w:history="1">
            <w:r w:rsidR="0013230D" w:rsidRPr="0013230D">
              <w:rPr>
                <w:rStyle w:val="Hyperlink"/>
              </w:rPr>
              <w:t>Sub Chapter: Horizontal Legislation</w:t>
            </w:r>
            <w:r w:rsidR="0013230D" w:rsidRPr="0013230D">
              <w:rPr>
                <w:webHidden/>
              </w:rPr>
              <w:tab/>
            </w:r>
            <w:r w:rsidRPr="0013230D">
              <w:rPr>
                <w:webHidden/>
              </w:rPr>
              <w:fldChar w:fldCharType="begin"/>
            </w:r>
            <w:r w:rsidR="0013230D" w:rsidRPr="0013230D">
              <w:rPr>
                <w:webHidden/>
              </w:rPr>
              <w:instrText xml:space="preserve"> PAGEREF _Toc24031508 \h </w:instrText>
            </w:r>
            <w:r w:rsidRPr="0013230D">
              <w:rPr>
                <w:webHidden/>
              </w:rPr>
            </w:r>
            <w:r w:rsidRPr="0013230D">
              <w:rPr>
                <w:webHidden/>
              </w:rPr>
              <w:fldChar w:fldCharType="separate"/>
            </w:r>
            <w:r w:rsidR="0013230D" w:rsidRPr="0013230D">
              <w:rPr>
                <w:webHidden/>
              </w:rPr>
              <w:t>18</w:t>
            </w:r>
            <w:r w:rsidRPr="0013230D">
              <w:rPr>
                <w:webHidden/>
              </w:rPr>
              <w:fldChar w:fldCharType="end"/>
            </w:r>
          </w:hyperlink>
        </w:p>
        <w:p w:rsidR="0013230D" w:rsidRPr="0013230D" w:rsidRDefault="00502274" w:rsidP="00363B6B">
          <w:pPr>
            <w:pStyle w:val="TOC1"/>
            <w:rPr>
              <w:sz w:val="24"/>
            </w:rPr>
          </w:pPr>
          <w:hyperlink w:anchor="_Toc24031509" w:history="1">
            <w:r w:rsidR="0013230D" w:rsidRPr="0013230D">
              <w:rPr>
                <w:rStyle w:val="Hyperlink"/>
              </w:rPr>
              <w:t>Sub Chapter: Air quality</w:t>
            </w:r>
            <w:r w:rsidR="0013230D" w:rsidRPr="0013230D">
              <w:rPr>
                <w:webHidden/>
              </w:rPr>
              <w:tab/>
            </w:r>
            <w:r w:rsidRPr="0013230D">
              <w:rPr>
                <w:webHidden/>
              </w:rPr>
              <w:fldChar w:fldCharType="begin"/>
            </w:r>
            <w:r w:rsidR="0013230D" w:rsidRPr="0013230D">
              <w:rPr>
                <w:webHidden/>
              </w:rPr>
              <w:instrText xml:space="preserve"> PAGEREF _Toc24031509 \h </w:instrText>
            </w:r>
            <w:r w:rsidRPr="0013230D">
              <w:rPr>
                <w:webHidden/>
              </w:rPr>
            </w:r>
            <w:r w:rsidRPr="0013230D">
              <w:rPr>
                <w:webHidden/>
              </w:rPr>
              <w:fldChar w:fldCharType="separate"/>
            </w:r>
            <w:r w:rsidR="0013230D" w:rsidRPr="0013230D">
              <w:rPr>
                <w:webHidden/>
              </w:rPr>
              <w:t>22</w:t>
            </w:r>
            <w:r w:rsidRPr="0013230D">
              <w:rPr>
                <w:webHidden/>
              </w:rPr>
              <w:fldChar w:fldCharType="end"/>
            </w:r>
          </w:hyperlink>
        </w:p>
        <w:p w:rsidR="0013230D" w:rsidRPr="0013230D" w:rsidRDefault="00502274" w:rsidP="00363B6B">
          <w:pPr>
            <w:pStyle w:val="TOC1"/>
            <w:rPr>
              <w:sz w:val="24"/>
            </w:rPr>
          </w:pPr>
          <w:hyperlink w:anchor="_Toc24031510" w:history="1">
            <w:r w:rsidR="0013230D" w:rsidRPr="0013230D">
              <w:rPr>
                <w:rStyle w:val="Hyperlink"/>
              </w:rPr>
              <w:t>Sub Chapter: Waste management</w:t>
            </w:r>
            <w:r w:rsidR="0013230D" w:rsidRPr="0013230D">
              <w:rPr>
                <w:webHidden/>
              </w:rPr>
              <w:tab/>
            </w:r>
            <w:r w:rsidRPr="0013230D">
              <w:rPr>
                <w:webHidden/>
              </w:rPr>
              <w:fldChar w:fldCharType="begin"/>
            </w:r>
            <w:r w:rsidR="0013230D" w:rsidRPr="0013230D">
              <w:rPr>
                <w:webHidden/>
              </w:rPr>
              <w:instrText xml:space="preserve"> PAGEREF _Toc24031510 \h </w:instrText>
            </w:r>
            <w:r w:rsidRPr="0013230D">
              <w:rPr>
                <w:webHidden/>
              </w:rPr>
            </w:r>
            <w:r w:rsidRPr="0013230D">
              <w:rPr>
                <w:webHidden/>
              </w:rPr>
              <w:fldChar w:fldCharType="separate"/>
            </w:r>
            <w:r w:rsidR="0013230D" w:rsidRPr="0013230D">
              <w:rPr>
                <w:webHidden/>
              </w:rPr>
              <w:t>25</w:t>
            </w:r>
            <w:r w:rsidRPr="0013230D">
              <w:rPr>
                <w:webHidden/>
              </w:rPr>
              <w:fldChar w:fldCharType="end"/>
            </w:r>
          </w:hyperlink>
        </w:p>
        <w:p w:rsidR="0013230D" w:rsidRPr="0013230D" w:rsidRDefault="00502274" w:rsidP="00363B6B">
          <w:pPr>
            <w:pStyle w:val="TOC1"/>
            <w:rPr>
              <w:sz w:val="24"/>
            </w:rPr>
          </w:pPr>
          <w:hyperlink w:anchor="_Toc24031511" w:history="1">
            <w:r w:rsidR="0013230D" w:rsidRPr="0013230D">
              <w:rPr>
                <w:rStyle w:val="Hyperlink"/>
              </w:rPr>
              <w:t>Sub Chapter: Water quality</w:t>
            </w:r>
            <w:r w:rsidR="0013230D" w:rsidRPr="0013230D">
              <w:rPr>
                <w:webHidden/>
              </w:rPr>
              <w:tab/>
            </w:r>
            <w:r w:rsidRPr="0013230D">
              <w:rPr>
                <w:webHidden/>
              </w:rPr>
              <w:fldChar w:fldCharType="begin"/>
            </w:r>
            <w:r w:rsidR="0013230D" w:rsidRPr="0013230D">
              <w:rPr>
                <w:webHidden/>
              </w:rPr>
              <w:instrText xml:space="preserve"> PAGEREF _Toc24031511 \h </w:instrText>
            </w:r>
            <w:r w:rsidRPr="0013230D">
              <w:rPr>
                <w:webHidden/>
              </w:rPr>
            </w:r>
            <w:r w:rsidRPr="0013230D">
              <w:rPr>
                <w:webHidden/>
              </w:rPr>
              <w:fldChar w:fldCharType="separate"/>
            </w:r>
            <w:r w:rsidR="0013230D" w:rsidRPr="0013230D">
              <w:rPr>
                <w:webHidden/>
              </w:rPr>
              <w:t>32</w:t>
            </w:r>
            <w:r w:rsidRPr="0013230D">
              <w:rPr>
                <w:webHidden/>
              </w:rPr>
              <w:fldChar w:fldCharType="end"/>
            </w:r>
          </w:hyperlink>
        </w:p>
        <w:p w:rsidR="0013230D" w:rsidRPr="0013230D" w:rsidRDefault="00502274" w:rsidP="00363B6B">
          <w:pPr>
            <w:pStyle w:val="TOC1"/>
            <w:rPr>
              <w:sz w:val="24"/>
            </w:rPr>
          </w:pPr>
          <w:hyperlink w:anchor="_Toc24031512" w:history="1">
            <w:r w:rsidR="0013230D" w:rsidRPr="0013230D">
              <w:rPr>
                <w:rStyle w:val="Hyperlink"/>
              </w:rPr>
              <w:t>Sub Chapter: Nature protection</w:t>
            </w:r>
            <w:r w:rsidR="0013230D" w:rsidRPr="0013230D">
              <w:rPr>
                <w:webHidden/>
              </w:rPr>
              <w:tab/>
            </w:r>
            <w:r w:rsidRPr="0013230D">
              <w:rPr>
                <w:webHidden/>
              </w:rPr>
              <w:fldChar w:fldCharType="begin"/>
            </w:r>
            <w:r w:rsidR="0013230D" w:rsidRPr="0013230D">
              <w:rPr>
                <w:webHidden/>
              </w:rPr>
              <w:instrText xml:space="preserve"> PAGEREF _Toc24031512 \h </w:instrText>
            </w:r>
            <w:r w:rsidRPr="0013230D">
              <w:rPr>
                <w:webHidden/>
              </w:rPr>
            </w:r>
            <w:r w:rsidRPr="0013230D">
              <w:rPr>
                <w:webHidden/>
              </w:rPr>
              <w:fldChar w:fldCharType="separate"/>
            </w:r>
            <w:r w:rsidR="0013230D" w:rsidRPr="0013230D">
              <w:rPr>
                <w:webHidden/>
              </w:rPr>
              <w:t>42</w:t>
            </w:r>
            <w:r w:rsidRPr="0013230D">
              <w:rPr>
                <w:webHidden/>
              </w:rPr>
              <w:fldChar w:fldCharType="end"/>
            </w:r>
          </w:hyperlink>
        </w:p>
        <w:p w:rsidR="0013230D" w:rsidRPr="0013230D" w:rsidRDefault="00502274" w:rsidP="00363B6B">
          <w:pPr>
            <w:pStyle w:val="TOC1"/>
            <w:rPr>
              <w:sz w:val="24"/>
            </w:rPr>
          </w:pPr>
          <w:hyperlink w:anchor="_Toc24031513" w:history="1">
            <w:r w:rsidR="0013230D" w:rsidRPr="0013230D">
              <w:rPr>
                <w:rStyle w:val="Hyperlink"/>
              </w:rPr>
              <w:t>Sub Chapter: Industrial pollution control</w:t>
            </w:r>
            <w:r w:rsidR="0013230D" w:rsidRPr="0013230D">
              <w:rPr>
                <w:webHidden/>
              </w:rPr>
              <w:tab/>
            </w:r>
            <w:r w:rsidRPr="0013230D">
              <w:rPr>
                <w:webHidden/>
              </w:rPr>
              <w:fldChar w:fldCharType="begin"/>
            </w:r>
            <w:r w:rsidR="0013230D" w:rsidRPr="0013230D">
              <w:rPr>
                <w:webHidden/>
              </w:rPr>
              <w:instrText xml:space="preserve"> PAGEREF _Toc24031513 \h </w:instrText>
            </w:r>
            <w:r w:rsidRPr="0013230D">
              <w:rPr>
                <w:webHidden/>
              </w:rPr>
            </w:r>
            <w:r w:rsidRPr="0013230D">
              <w:rPr>
                <w:webHidden/>
              </w:rPr>
              <w:fldChar w:fldCharType="separate"/>
            </w:r>
            <w:r w:rsidR="0013230D" w:rsidRPr="0013230D">
              <w:rPr>
                <w:webHidden/>
              </w:rPr>
              <w:t>45</w:t>
            </w:r>
            <w:r w:rsidRPr="0013230D">
              <w:rPr>
                <w:webHidden/>
              </w:rPr>
              <w:fldChar w:fldCharType="end"/>
            </w:r>
          </w:hyperlink>
        </w:p>
        <w:p w:rsidR="0013230D" w:rsidRPr="0013230D" w:rsidRDefault="00502274" w:rsidP="00363B6B">
          <w:pPr>
            <w:pStyle w:val="TOC1"/>
            <w:rPr>
              <w:sz w:val="24"/>
            </w:rPr>
          </w:pPr>
          <w:hyperlink w:anchor="_Toc24031514" w:history="1">
            <w:r w:rsidR="0013230D" w:rsidRPr="0013230D">
              <w:rPr>
                <w:rStyle w:val="Hyperlink"/>
              </w:rPr>
              <w:t>Sub Chapter: Chemicals</w:t>
            </w:r>
            <w:r w:rsidR="0013230D" w:rsidRPr="0013230D">
              <w:rPr>
                <w:webHidden/>
              </w:rPr>
              <w:tab/>
            </w:r>
            <w:r w:rsidRPr="0013230D">
              <w:rPr>
                <w:webHidden/>
              </w:rPr>
              <w:fldChar w:fldCharType="begin"/>
            </w:r>
            <w:r w:rsidR="0013230D" w:rsidRPr="0013230D">
              <w:rPr>
                <w:webHidden/>
              </w:rPr>
              <w:instrText xml:space="preserve"> PAGEREF _Toc24031514 \h </w:instrText>
            </w:r>
            <w:r w:rsidRPr="0013230D">
              <w:rPr>
                <w:webHidden/>
              </w:rPr>
            </w:r>
            <w:r w:rsidRPr="0013230D">
              <w:rPr>
                <w:webHidden/>
              </w:rPr>
              <w:fldChar w:fldCharType="separate"/>
            </w:r>
            <w:r w:rsidR="0013230D" w:rsidRPr="0013230D">
              <w:rPr>
                <w:webHidden/>
              </w:rPr>
              <w:t>49</w:t>
            </w:r>
            <w:r w:rsidRPr="0013230D">
              <w:rPr>
                <w:webHidden/>
              </w:rPr>
              <w:fldChar w:fldCharType="end"/>
            </w:r>
          </w:hyperlink>
        </w:p>
        <w:p w:rsidR="0013230D" w:rsidRPr="0013230D" w:rsidRDefault="00502274" w:rsidP="00363B6B">
          <w:pPr>
            <w:pStyle w:val="TOC1"/>
            <w:rPr>
              <w:sz w:val="24"/>
            </w:rPr>
          </w:pPr>
          <w:hyperlink w:anchor="_Toc24031515" w:history="1">
            <w:r w:rsidR="0013230D" w:rsidRPr="0013230D">
              <w:rPr>
                <w:rStyle w:val="Hyperlink"/>
              </w:rPr>
              <w:t>Sub Chapter: Noise</w:t>
            </w:r>
            <w:r w:rsidR="0013230D" w:rsidRPr="0013230D">
              <w:rPr>
                <w:webHidden/>
              </w:rPr>
              <w:tab/>
            </w:r>
            <w:r w:rsidRPr="0013230D">
              <w:rPr>
                <w:webHidden/>
              </w:rPr>
              <w:fldChar w:fldCharType="begin"/>
            </w:r>
            <w:r w:rsidR="0013230D" w:rsidRPr="0013230D">
              <w:rPr>
                <w:webHidden/>
              </w:rPr>
              <w:instrText xml:space="preserve"> PAGEREF _Toc24031515 \h </w:instrText>
            </w:r>
            <w:r w:rsidRPr="0013230D">
              <w:rPr>
                <w:webHidden/>
              </w:rPr>
            </w:r>
            <w:r w:rsidRPr="0013230D">
              <w:rPr>
                <w:webHidden/>
              </w:rPr>
              <w:fldChar w:fldCharType="separate"/>
            </w:r>
            <w:r w:rsidR="0013230D" w:rsidRPr="0013230D">
              <w:rPr>
                <w:webHidden/>
              </w:rPr>
              <w:t>52</w:t>
            </w:r>
            <w:r w:rsidRPr="0013230D">
              <w:rPr>
                <w:webHidden/>
              </w:rPr>
              <w:fldChar w:fldCharType="end"/>
            </w:r>
          </w:hyperlink>
        </w:p>
        <w:p w:rsidR="0013230D" w:rsidRPr="0013230D" w:rsidRDefault="00502274" w:rsidP="00363B6B">
          <w:pPr>
            <w:pStyle w:val="TOC1"/>
            <w:rPr>
              <w:sz w:val="24"/>
            </w:rPr>
          </w:pPr>
          <w:hyperlink w:anchor="_Toc24031516" w:history="1">
            <w:r w:rsidR="0013230D" w:rsidRPr="0013230D">
              <w:rPr>
                <w:rStyle w:val="Hyperlink"/>
              </w:rPr>
              <w:t>Sub- Chapter: Climate change</w:t>
            </w:r>
            <w:r w:rsidR="0013230D" w:rsidRPr="0013230D">
              <w:rPr>
                <w:webHidden/>
              </w:rPr>
              <w:tab/>
            </w:r>
            <w:r w:rsidRPr="0013230D">
              <w:rPr>
                <w:webHidden/>
              </w:rPr>
              <w:fldChar w:fldCharType="begin"/>
            </w:r>
            <w:r w:rsidR="0013230D" w:rsidRPr="0013230D">
              <w:rPr>
                <w:webHidden/>
              </w:rPr>
              <w:instrText xml:space="preserve"> PAGEREF _Toc24031516 \h </w:instrText>
            </w:r>
            <w:r w:rsidRPr="0013230D">
              <w:rPr>
                <w:webHidden/>
              </w:rPr>
            </w:r>
            <w:r w:rsidRPr="0013230D">
              <w:rPr>
                <w:webHidden/>
              </w:rPr>
              <w:fldChar w:fldCharType="separate"/>
            </w:r>
            <w:r w:rsidR="0013230D" w:rsidRPr="0013230D">
              <w:rPr>
                <w:webHidden/>
              </w:rPr>
              <w:t>54</w:t>
            </w:r>
            <w:r w:rsidRPr="0013230D">
              <w:rPr>
                <w:webHidden/>
              </w:rPr>
              <w:fldChar w:fldCharType="end"/>
            </w:r>
          </w:hyperlink>
        </w:p>
        <w:p w:rsidR="00A012BB" w:rsidRPr="006314C9" w:rsidRDefault="00502274" w:rsidP="00C81C00">
          <w:pPr>
            <w:rPr>
              <w:rFonts w:cs="Times New Roman"/>
              <w:lang w:val="en-GB"/>
            </w:rPr>
          </w:pPr>
          <w:r w:rsidRPr="0013230D">
            <w:rPr>
              <w:rFonts w:cs="Times New Roman"/>
              <w:bCs/>
              <w:lang w:val="en-GB"/>
            </w:rPr>
            <w:fldChar w:fldCharType="end"/>
          </w:r>
        </w:p>
      </w:sdtContent>
    </w:sdt>
    <w:p w:rsidR="00A012BB" w:rsidRPr="006314C9" w:rsidRDefault="00A012BB" w:rsidP="007B0BC7">
      <w:pPr>
        <w:spacing w:after="0"/>
        <w:jc w:val="center"/>
        <w:rPr>
          <w:rFonts w:cs="Times New Roman"/>
          <w:lang w:val="en-GB"/>
        </w:rPr>
      </w:pPr>
    </w:p>
    <w:p w:rsidR="00A012BB" w:rsidRPr="006314C9" w:rsidRDefault="00A012BB" w:rsidP="00152F5E">
      <w:pPr>
        <w:spacing w:after="0"/>
        <w:jc w:val="center"/>
        <w:rPr>
          <w:rFonts w:cs="Times New Roman"/>
          <w:lang w:val="en-GB"/>
        </w:rPr>
      </w:pPr>
    </w:p>
    <w:p w:rsidR="00A012BB" w:rsidRPr="006314C9" w:rsidRDefault="00A012BB" w:rsidP="00152F5E">
      <w:pPr>
        <w:spacing w:after="0"/>
        <w:jc w:val="center"/>
        <w:rPr>
          <w:rFonts w:cs="Times New Roman"/>
          <w:lang w:val="en-GB"/>
        </w:rPr>
      </w:pPr>
    </w:p>
    <w:p w:rsidR="00A012BB" w:rsidRPr="006314C9" w:rsidRDefault="00A012BB" w:rsidP="00152F5E">
      <w:pPr>
        <w:spacing w:after="0"/>
        <w:jc w:val="center"/>
        <w:rPr>
          <w:rFonts w:cs="Times New Roman"/>
          <w:lang w:val="en-GB"/>
        </w:rPr>
      </w:pPr>
    </w:p>
    <w:p w:rsidR="00A012BB" w:rsidRPr="006314C9" w:rsidRDefault="00A012BB" w:rsidP="00152F5E">
      <w:pPr>
        <w:spacing w:after="0"/>
        <w:jc w:val="center"/>
        <w:rPr>
          <w:rFonts w:cs="Times New Roman"/>
          <w:b/>
          <w:lang w:val="en-GB"/>
        </w:rPr>
      </w:pPr>
    </w:p>
    <w:p w:rsidR="00A012BB" w:rsidRPr="006314C9" w:rsidRDefault="00A012BB" w:rsidP="00152F5E">
      <w:pPr>
        <w:spacing w:after="0"/>
        <w:jc w:val="center"/>
        <w:rPr>
          <w:rFonts w:cs="Times New Roman"/>
          <w:b/>
          <w:lang w:val="en-GB"/>
        </w:rPr>
      </w:pPr>
    </w:p>
    <w:p w:rsidR="00A012BB" w:rsidRPr="006314C9" w:rsidRDefault="00A012BB" w:rsidP="00152F5E">
      <w:pPr>
        <w:spacing w:before="0" w:after="200"/>
        <w:jc w:val="left"/>
        <w:rPr>
          <w:rFonts w:cs="Times New Roman"/>
          <w:b/>
          <w:lang w:val="en-GB"/>
        </w:rPr>
      </w:pPr>
      <w:r w:rsidRPr="006314C9">
        <w:rPr>
          <w:rFonts w:cs="Times New Roman"/>
          <w:b/>
          <w:lang w:val="en-GB"/>
        </w:rPr>
        <w:br w:type="page"/>
      </w:r>
    </w:p>
    <w:p w:rsidR="00A012BB" w:rsidRPr="006314C9" w:rsidRDefault="00A012BB" w:rsidP="00B27FEA">
      <w:pPr>
        <w:spacing w:after="0"/>
        <w:jc w:val="center"/>
        <w:rPr>
          <w:rFonts w:cs="Times New Roman"/>
          <w:b/>
          <w:lang w:val="en-GB"/>
        </w:rPr>
      </w:pPr>
    </w:p>
    <w:p w:rsidR="00A012BB" w:rsidRPr="006314C9" w:rsidRDefault="00A012BB" w:rsidP="007B0BC7">
      <w:pPr>
        <w:pStyle w:val="Heading1"/>
        <w:numPr>
          <w:ilvl w:val="0"/>
          <w:numId w:val="0"/>
        </w:numPr>
        <w:ind w:left="360"/>
        <w:rPr>
          <w:rFonts w:cs="Times New Roman"/>
          <w:szCs w:val="22"/>
          <w:lang w:val="en-GB"/>
        </w:rPr>
      </w:pPr>
      <w:bookmarkStart w:id="2" w:name="_Toc24031506"/>
      <w:r w:rsidRPr="006314C9">
        <w:rPr>
          <w:rFonts w:cs="Times New Roman"/>
          <w:szCs w:val="22"/>
          <w:lang w:val="en-GB"/>
        </w:rPr>
        <w:t>List of abbreviations</w:t>
      </w:r>
      <w:bookmarkEnd w:id="2"/>
    </w:p>
    <w:tbl>
      <w:tblPr>
        <w:tblStyle w:val="TableGrid"/>
        <w:tblW w:w="5000" w:type="pct"/>
        <w:tblLook w:val="04A0"/>
      </w:tblPr>
      <w:tblGrid>
        <w:gridCol w:w="2255"/>
        <w:gridCol w:w="7321"/>
      </w:tblGrid>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AKBN</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National Agency of Natural Resources</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AKUM</w:t>
            </w:r>
          </w:p>
        </w:tc>
        <w:tc>
          <w:tcPr>
            <w:tcW w:w="6888" w:type="dxa"/>
          </w:tcPr>
          <w:p w:rsidR="00B80C96" w:rsidRPr="006314C9" w:rsidRDefault="00B80C96" w:rsidP="00152F5E">
            <w:pPr>
              <w:spacing w:before="60" w:after="60"/>
              <w:rPr>
                <w:rFonts w:cs="Times New Roman"/>
                <w:lang w:val="en-GB"/>
              </w:rPr>
            </w:pPr>
            <w:r w:rsidRPr="006314C9">
              <w:rPr>
                <w:rFonts w:cs="Times New Roman"/>
                <w:lang w:val="en-GB"/>
              </w:rPr>
              <w:t xml:space="preserve">National Agency for Water Supply, Sewerage and Waste Infrastructure </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AMBU</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Agency for Water and Resource Management</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GMD</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General Maritime Directorate</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IMS</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Inspectorate for Market Surveillance</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ISHTI</w:t>
            </w:r>
          </w:p>
        </w:tc>
        <w:tc>
          <w:tcPr>
            <w:tcW w:w="6888" w:type="dxa"/>
          </w:tcPr>
          <w:p w:rsidR="00B80C96" w:rsidRPr="006314C9" w:rsidRDefault="00B80C96" w:rsidP="00152F5E">
            <w:pPr>
              <w:spacing w:before="60" w:after="60"/>
              <w:rPr>
                <w:rFonts w:cs="Times New Roman"/>
                <w:lang w:val="en-GB"/>
              </w:rPr>
            </w:pPr>
            <w:r w:rsidRPr="006314C9">
              <w:rPr>
                <w:rFonts w:cs="Times New Roman"/>
                <w:lang w:val="en-GB"/>
              </w:rPr>
              <w:t>State Technical and Industrial Inspectorate</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IPH</w:t>
            </w:r>
          </w:p>
        </w:tc>
        <w:tc>
          <w:tcPr>
            <w:tcW w:w="6888" w:type="dxa"/>
          </w:tcPr>
          <w:p w:rsidR="00B80C96" w:rsidRPr="006314C9" w:rsidRDefault="00B80C96" w:rsidP="00152F5E">
            <w:pPr>
              <w:spacing w:before="60" w:after="60"/>
              <w:rPr>
                <w:rFonts w:cs="Times New Roman"/>
                <w:lang w:val="en-GB"/>
              </w:rPr>
            </w:pPr>
            <w:r w:rsidRPr="006314C9">
              <w:rPr>
                <w:rFonts w:cs="Times New Roman"/>
                <w:lang w:val="en-GB"/>
              </w:rPr>
              <w:t>Institute for Public Health</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MARD</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 xml:space="preserve">Ministry of Agriculture and Rural Development </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MD</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Ministry of Defence</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MFE</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Ministry of Finance and Economy</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MHSA</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Ministry of Health and Social Affairs</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MI</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 xml:space="preserve">Ministry of Interior </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MIE</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 xml:space="preserve">Ministry of Infrastructure and Energy </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MJ</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 xml:space="preserve">Ministry of Justice </w:t>
            </w:r>
          </w:p>
        </w:tc>
      </w:tr>
      <w:tr w:rsidR="00B80C96" w:rsidRPr="006314C9" w:rsidTr="00F647CE">
        <w:tc>
          <w:tcPr>
            <w:tcW w:w="2122" w:type="dxa"/>
          </w:tcPr>
          <w:p w:rsidR="00B80C96" w:rsidRPr="006314C9" w:rsidRDefault="00B80C96" w:rsidP="00152F5E">
            <w:pPr>
              <w:spacing w:before="60" w:after="60"/>
              <w:rPr>
                <w:rFonts w:cs="Times New Roman"/>
                <w:lang w:val="en-GB"/>
              </w:rPr>
            </w:pPr>
            <w:r w:rsidRPr="006314C9">
              <w:rPr>
                <w:rFonts w:cs="Times New Roman"/>
                <w:lang w:val="en-GB"/>
              </w:rPr>
              <w:t>MTE</w:t>
            </w:r>
          </w:p>
        </w:tc>
        <w:tc>
          <w:tcPr>
            <w:tcW w:w="6888" w:type="dxa"/>
          </w:tcPr>
          <w:p w:rsidR="00B80C96" w:rsidRPr="006314C9" w:rsidRDefault="00B80C96" w:rsidP="00152F5E">
            <w:pPr>
              <w:spacing w:before="60" w:after="60"/>
              <w:rPr>
                <w:rFonts w:cs="Times New Roman"/>
                <w:lang w:val="en-GB"/>
              </w:rPr>
            </w:pPr>
            <w:r w:rsidRPr="006314C9">
              <w:rPr>
                <w:rFonts w:cs="Times New Roman"/>
                <w:lang w:val="en-GB"/>
              </w:rPr>
              <w:t xml:space="preserve">Ministry of Tourism and Environment </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NAPA</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National Agency of Protected Areas</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NEA</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 xml:space="preserve">National Environmental Agency </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SAGI</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State Authority for Geospatial Information</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SDC</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 xml:space="preserve">State Directorate for Customs </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SIEF</w:t>
            </w:r>
            <w:r w:rsidR="00B95D6A" w:rsidRPr="006314C9">
              <w:rPr>
                <w:rFonts w:cs="Times New Roman"/>
                <w:lang w:val="en-GB"/>
              </w:rPr>
              <w:t>WT</w:t>
            </w:r>
          </w:p>
        </w:tc>
        <w:tc>
          <w:tcPr>
            <w:tcW w:w="6888" w:type="dxa"/>
          </w:tcPr>
          <w:p w:rsidR="00B80C96" w:rsidRPr="006314C9" w:rsidRDefault="00B80C96" w:rsidP="007B0BC7">
            <w:pPr>
              <w:spacing w:before="60" w:after="60"/>
              <w:rPr>
                <w:rFonts w:cs="Times New Roman"/>
                <w:lang w:val="en-GB"/>
              </w:rPr>
            </w:pPr>
            <w:r w:rsidRPr="006314C9">
              <w:rPr>
                <w:rFonts w:cs="Times New Roman"/>
                <w:lang w:val="en-GB"/>
              </w:rPr>
              <w:t>State Inspectorate for Environment, Forestry, Water and Tourism</w:t>
            </w:r>
          </w:p>
        </w:tc>
      </w:tr>
      <w:tr w:rsidR="00B80C96" w:rsidRPr="006314C9" w:rsidTr="00F647CE">
        <w:tc>
          <w:tcPr>
            <w:tcW w:w="2122" w:type="dxa"/>
          </w:tcPr>
          <w:p w:rsidR="00B80C96" w:rsidRPr="006314C9" w:rsidRDefault="00B80C96" w:rsidP="00B27FEA">
            <w:pPr>
              <w:spacing w:before="60" w:after="60"/>
              <w:rPr>
                <w:rFonts w:cs="Times New Roman"/>
                <w:lang w:val="en-GB"/>
              </w:rPr>
            </w:pPr>
            <w:r w:rsidRPr="006314C9">
              <w:rPr>
                <w:rFonts w:cs="Times New Roman"/>
                <w:lang w:val="en-GB"/>
              </w:rPr>
              <w:t>SVR</w:t>
            </w:r>
          </w:p>
        </w:tc>
        <w:tc>
          <w:tcPr>
            <w:tcW w:w="6888" w:type="dxa"/>
          </w:tcPr>
          <w:p w:rsidR="00B80C96" w:rsidRPr="006314C9" w:rsidRDefault="00B80C96" w:rsidP="00152F5E">
            <w:pPr>
              <w:spacing w:before="60" w:after="60"/>
              <w:rPr>
                <w:rFonts w:cs="Times New Roman"/>
                <w:lang w:val="en-GB"/>
              </w:rPr>
            </w:pPr>
            <w:r w:rsidRPr="006314C9">
              <w:rPr>
                <w:rFonts w:cs="Times New Roman"/>
                <w:lang w:val="en-GB"/>
              </w:rPr>
              <w:t xml:space="preserve">Regional Veterinary Service of Albania </w:t>
            </w:r>
          </w:p>
        </w:tc>
      </w:tr>
    </w:tbl>
    <w:p w:rsidR="00A012BB" w:rsidRPr="006314C9" w:rsidRDefault="00A012BB" w:rsidP="00B27FEA">
      <w:pPr>
        <w:spacing w:after="0"/>
        <w:jc w:val="center"/>
        <w:rPr>
          <w:rFonts w:cs="Times New Roman"/>
          <w:b/>
          <w:lang w:val="en-GB"/>
        </w:rPr>
      </w:pPr>
    </w:p>
    <w:p w:rsidR="00A012BB" w:rsidRPr="006314C9" w:rsidRDefault="00A012BB" w:rsidP="007B0BC7">
      <w:pPr>
        <w:rPr>
          <w:rFonts w:cs="Times New Roman"/>
          <w:lang w:val="en-GB"/>
        </w:rPr>
      </w:pPr>
    </w:p>
    <w:p w:rsidR="00FE19F5" w:rsidRPr="006314C9" w:rsidRDefault="00FE19F5">
      <w:pPr>
        <w:spacing w:before="0" w:after="200" w:line="276" w:lineRule="auto"/>
        <w:jc w:val="left"/>
        <w:rPr>
          <w:rFonts w:cs="Times New Roman"/>
          <w:lang w:val="en-GB"/>
        </w:rPr>
      </w:pPr>
      <w:r w:rsidRPr="006314C9">
        <w:rPr>
          <w:rFonts w:cs="Times New Roman"/>
          <w:lang w:val="en-GB"/>
        </w:rPr>
        <w:br w:type="page"/>
      </w:r>
    </w:p>
    <w:p w:rsidR="00B718BB" w:rsidRPr="006314C9" w:rsidRDefault="00FE19F5" w:rsidP="007B0BC7">
      <w:pPr>
        <w:pStyle w:val="Heading1"/>
        <w:numPr>
          <w:ilvl w:val="0"/>
          <w:numId w:val="0"/>
        </w:numPr>
        <w:ind w:left="720"/>
        <w:jc w:val="center"/>
        <w:rPr>
          <w:rFonts w:cs="Times New Roman"/>
          <w:szCs w:val="22"/>
          <w:lang w:val="en-GB"/>
        </w:rPr>
      </w:pPr>
      <w:bookmarkStart w:id="3" w:name="_Toc24031507"/>
      <w:r w:rsidRPr="006314C9">
        <w:rPr>
          <w:rFonts w:cs="Times New Roman"/>
          <w:szCs w:val="22"/>
          <w:lang w:val="en-GB"/>
        </w:rPr>
        <w:lastRenderedPageBreak/>
        <w:t>Chapter 27 summary</w:t>
      </w:r>
      <w:bookmarkEnd w:id="3"/>
    </w:p>
    <w:p w:rsidR="00B718BB" w:rsidRPr="006314C9" w:rsidRDefault="00B718BB" w:rsidP="00C81C00">
      <w:pPr>
        <w:rPr>
          <w:rFonts w:cs="Times New Roman"/>
          <w:lang w:val="en-GB"/>
        </w:rPr>
      </w:pPr>
    </w:p>
    <w:p w:rsidR="00B718BB" w:rsidRPr="006314C9" w:rsidRDefault="00B718BB" w:rsidP="00C81C00">
      <w:pPr>
        <w:rPr>
          <w:rFonts w:cs="Times New Roman"/>
          <w:i/>
          <w:lang w:val="en-GB"/>
        </w:rPr>
      </w:pPr>
      <w:r w:rsidRPr="006314C9">
        <w:rPr>
          <w:rFonts w:cs="Times New Roman"/>
          <w:b/>
          <w:i/>
          <w:lang w:val="en-GB"/>
        </w:rPr>
        <w:t>Background information</w:t>
      </w:r>
    </w:p>
    <w:p w:rsidR="00FE19F5" w:rsidRPr="006314C9" w:rsidRDefault="00B718BB" w:rsidP="00FE19F5">
      <w:pPr>
        <w:rPr>
          <w:rFonts w:cs="Times New Roman"/>
          <w:lang w:val="en-GB"/>
        </w:rPr>
      </w:pPr>
      <w:r w:rsidRPr="006314C9">
        <w:rPr>
          <w:rFonts w:cs="Times New Roman"/>
          <w:lang w:val="en-GB"/>
        </w:rPr>
        <w:t xml:space="preserve">EU environment policy aims to promote sustainable development and protect the environment for present and future generations. It is based on preventive </w:t>
      </w:r>
      <w:proofErr w:type="gramStart"/>
      <w:r w:rsidRPr="006314C9">
        <w:rPr>
          <w:rFonts w:cs="Times New Roman"/>
          <w:lang w:val="en-GB"/>
        </w:rPr>
        <w:t>action,</w:t>
      </w:r>
      <w:proofErr w:type="gramEnd"/>
      <w:r w:rsidRPr="006314C9">
        <w:rPr>
          <w:rFonts w:cs="Times New Roman"/>
          <w:lang w:val="en-GB"/>
        </w:rPr>
        <w:t xml:space="preserve"> the polluter pays principle, fighting environmental damage at source, shared responsibility and the integration of environmental protection into other EU policies. The EU </w:t>
      </w:r>
      <w:proofErr w:type="spellStart"/>
      <w:r w:rsidRPr="006314C9">
        <w:rPr>
          <w:rFonts w:cs="Times New Roman"/>
          <w:i/>
          <w:lang w:val="en-GB"/>
        </w:rPr>
        <w:t>acquis</w:t>
      </w:r>
      <w:proofErr w:type="spellEnd"/>
      <w:r w:rsidRPr="006314C9">
        <w:rPr>
          <w:rFonts w:cs="Times New Roman"/>
          <w:lang w:val="en-GB"/>
        </w:rPr>
        <w:t xml:space="preserve"> comprises over 200 legal </w:t>
      </w:r>
      <w:proofErr w:type="spellStart"/>
      <w:r w:rsidRPr="006314C9">
        <w:rPr>
          <w:rFonts w:cs="Times New Roman"/>
          <w:lang w:val="en-GB"/>
        </w:rPr>
        <w:t>acts</w:t>
      </w:r>
      <w:r w:rsidR="0057557B" w:rsidRPr="006314C9">
        <w:rPr>
          <w:rFonts w:cs="Times New Roman"/>
          <w:lang w:val="en-GB"/>
        </w:rPr>
        <w:t>,for</w:t>
      </w:r>
      <w:proofErr w:type="spellEnd"/>
      <w:r w:rsidR="0057557B" w:rsidRPr="006314C9">
        <w:rPr>
          <w:rFonts w:cs="Times New Roman"/>
          <w:lang w:val="en-GB"/>
        </w:rPr>
        <w:t xml:space="preserve"> negotiations purposes grouped into </w:t>
      </w:r>
      <w:r w:rsidR="00B95D6A" w:rsidRPr="006314C9">
        <w:rPr>
          <w:rFonts w:cs="Times New Roman"/>
          <w:lang w:val="en-GB"/>
        </w:rPr>
        <w:t>73</w:t>
      </w:r>
      <w:r w:rsidR="0057557B" w:rsidRPr="006314C9">
        <w:rPr>
          <w:rFonts w:cs="Times New Roman"/>
          <w:lang w:val="en-GB"/>
        </w:rPr>
        <w:t xml:space="preserve"> main legal acts (directives and regulations) </w:t>
      </w:r>
      <w:r w:rsidR="00FE19F5" w:rsidRPr="006314C9">
        <w:rPr>
          <w:rFonts w:cs="Times New Roman"/>
          <w:lang w:val="en-GB"/>
        </w:rPr>
        <w:t xml:space="preserve">under Chapter 27 – Environment and Climate </w:t>
      </w:r>
      <w:proofErr w:type="spellStart"/>
      <w:r w:rsidR="00FE19F5" w:rsidRPr="006314C9">
        <w:rPr>
          <w:rFonts w:cs="Times New Roman"/>
          <w:lang w:val="en-GB"/>
        </w:rPr>
        <w:t>Change</w:t>
      </w:r>
      <w:r w:rsidR="0057557B" w:rsidRPr="006314C9">
        <w:rPr>
          <w:rFonts w:cs="Times New Roman"/>
          <w:lang w:val="en-GB"/>
        </w:rPr>
        <w:t>and</w:t>
      </w:r>
      <w:proofErr w:type="spellEnd"/>
      <w:r w:rsidR="0057557B" w:rsidRPr="006314C9">
        <w:rPr>
          <w:rFonts w:cs="Times New Roman"/>
          <w:lang w:val="en-GB"/>
        </w:rPr>
        <w:t xml:space="preserve"> </w:t>
      </w:r>
      <w:r w:rsidRPr="006314C9">
        <w:rPr>
          <w:rFonts w:cs="Times New Roman"/>
          <w:lang w:val="en-GB"/>
        </w:rPr>
        <w:t>covering horizontal legislation, water and air quality, waste management, nature protection, industrial pollution control and risk management, chemicals, noise</w:t>
      </w:r>
      <w:r w:rsidR="0057557B" w:rsidRPr="006314C9">
        <w:rPr>
          <w:rFonts w:cs="Times New Roman"/>
          <w:lang w:val="en-GB"/>
        </w:rPr>
        <w:t xml:space="preserve"> and climate change</w:t>
      </w:r>
      <w:r w:rsidR="00FE19F5" w:rsidRPr="006314C9">
        <w:rPr>
          <w:rFonts w:cs="Times New Roman"/>
          <w:lang w:val="en-GB"/>
        </w:rPr>
        <w:t>.</w:t>
      </w:r>
    </w:p>
    <w:p w:rsidR="00B718BB" w:rsidRPr="006314C9" w:rsidRDefault="00B718BB" w:rsidP="007B0BC7">
      <w:pPr>
        <w:rPr>
          <w:rFonts w:cs="Times New Roman"/>
          <w:lang w:val="en-GB"/>
        </w:rPr>
      </w:pPr>
      <w:r w:rsidRPr="006314C9">
        <w:rPr>
          <w:rFonts w:cs="Times New Roman"/>
          <w:lang w:val="en-GB"/>
        </w:rPr>
        <w:t>The analysis carried out by the experts included the following sub-chapters:</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 xml:space="preserve">Horizontal Legislation </w:t>
      </w:r>
      <w:r w:rsidRPr="006314C9">
        <w:rPr>
          <w:rFonts w:cs="Times New Roman"/>
          <w:lang w:val="en-GB"/>
        </w:rPr>
        <w:tab/>
      </w:r>
      <w:r w:rsidRPr="006314C9">
        <w:rPr>
          <w:rFonts w:cs="Times New Roman"/>
          <w:lang w:val="en-GB"/>
        </w:rPr>
        <w:tab/>
        <w:t>(7 Directives and 1 Recommendation)</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 xml:space="preserve">Air Quality </w:t>
      </w:r>
      <w:r w:rsidRPr="006314C9">
        <w:rPr>
          <w:rFonts w:cs="Times New Roman"/>
          <w:lang w:val="en-GB"/>
        </w:rPr>
        <w:tab/>
      </w:r>
      <w:r w:rsidRPr="006314C9">
        <w:rPr>
          <w:rFonts w:cs="Times New Roman"/>
          <w:lang w:val="en-GB"/>
        </w:rPr>
        <w:tab/>
      </w:r>
      <w:r w:rsidRPr="006314C9">
        <w:rPr>
          <w:rFonts w:cs="Times New Roman"/>
          <w:lang w:val="en-GB"/>
        </w:rPr>
        <w:tab/>
        <w:t>(5 Directives)</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Waste Management</w:t>
      </w:r>
      <w:r w:rsidRPr="006314C9">
        <w:rPr>
          <w:rFonts w:cs="Times New Roman"/>
          <w:lang w:val="en-GB"/>
        </w:rPr>
        <w:tab/>
      </w:r>
      <w:r w:rsidRPr="006314C9">
        <w:rPr>
          <w:rFonts w:cs="Times New Roman"/>
          <w:lang w:val="en-GB"/>
        </w:rPr>
        <w:tab/>
        <w:t>(10 Directives and 3 Regulations)</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 xml:space="preserve">Water Quality </w:t>
      </w:r>
      <w:r w:rsidRPr="006314C9">
        <w:rPr>
          <w:rFonts w:cs="Times New Roman"/>
          <w:lang w:val="en-GB"/>
        </w:rPr>
        <w:tab/>
      </w:r>
      <w:r w:rsidRPr="006314C9">
        <w:rPr>
          <w:rFonts w:cs="Times New Roman"/>
          <w:lang w:val="en-GB"/>
        </w:rPr>
        <w:tab/>
      </w:r>
      <w:r w:rsidRPr="006314C9">
        <w:rPr>
          <w:rFonts w:cs="Times New Roman"/>
          <w:lang w:val="en-GB"/>
        </w:rPr>
        <w:tab/>
        <w:t>(10 Directives</w:t>
      </w:r>
      <w:r w:rsidR="001970C3" w:rsidRPr="006314C9">
        <w:rPr>
          <w:rFonts w:cs="Times New Roman"/>
          <w:lang w:val="en-GB"/>
        </w:rPr>
        <w:t xml:space="preserve"> and </w:t>
      </w:r>
      <w:r w:rsidR="00B95D6A" w:rsidRPr="006314C9">
        <w:rPr>
          <w:rFonts w:cs="Times New Roman"/>
          <w:lang w:val="en-GB"/>
        </w:rPr>
        <w:t>1 Decision)</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Nature Protection</w:t>
      </w:r>
      <w:r w:rsidRPr="006314C9">
        <w:rPr>
          <w:rFonts w:cs="Times New Roman"/>
          <w:lang w:val="en-GB"/>
        </w:rPr>
        <w:tab/>
      </w:r>
      <w:r w:rsidRPr="006314C9">
        <w:rPr>
          <w:rFonts w:cs="Times New Roman"/>
          <w:lang w:val="en-GB"/>
        </w:rPr>
        <w:tab/>
        <w:t>(4 Directives and 6 Regulations)</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Industrial Pollution Control</w:t>
      </w:r>
      <w:r w:rsidRPr="006314C9">
        <w:rPr>
          <w:rFonts w:cs="Times New Roman"/>
          <w:lang w:val="en-GB"/>
        </w:rPr>
        <w:tab/>
        <w:t>(4 Directives and 2 Regulations)</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Chemicals</w:t>
      </w:r>
      <w:r w:rsidRPr="006314C9">
        <w:rPr>
          <w:rFonts w:cs="Times New Roman"/>
          <w:lang w:val="en-GB"/>
        </w:rPr>
        <w:tab/>
      </w:r>
      <w:r w:rsidRPr="006314C9">
        <w:rPr>
          <w:rFonts w:cs="Times New Roman"/>
          <w:lang w:val="en-GB"/>
        </w:rPr>
        <w:tab/>
      </w:r>
      <w:r w:rsidRPr="006314C9">
        <w:rPr>
          <w:rFonts w:cs="Times New Roman"/>
          <w:lang w:val="en-GB"/>
        </w:rPr>
        <w:tab/>
        <w:t>(2 Directives and 5 Regulations)</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Noise</w:t>
      </w:r>
      <w:r w:rsidRPr="006314C9">
        <w:rPr>
          <w:rFonts w:cs="Times New Roman"/>
          <w:lang w:val="en-GB"/>
        </w:rPr>
        <w:tab/>
      </w:r>
      <w:r w:rsidRPr="006314C9">
        <w:rPr>
          <w:rFonts w:cs="Times New Roman"/>
          <w:lang w:val="en-GB"/>
        </w:rPr>
        <w:tab/>
      </w:r>
      <w:r w:rsidRPr="006314C9">
        <w:rPr>
          <w:rFonts w:cs="Times New Roman"/>
          <w:lang w:val="en-GB"/>
        </w:rPr>
        <w:tab/>
      </w:r>
      <w:r w:rsidRPr="006314C9">
        <w:rPr>
          <w:rFonts w:cs="Times New Roman"/>
          <w:lang w:val="en-GB"/>
        </w:rPr>
        <w:tab/>
        <w:t>(1 Directive)</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Climate Change</w:t>
      </w:r>
      <w:r w:rsidRPr="006314C9">
        <w:rPr>
          <w:rFonts w:cs="Times New Roman"/>
          <w:lang w:val="en-GB"/>
        </w:rPr>
        <w:tab/>
      </w:r>
      <w:r w:rsidRPr="006314C9">
        <w:rPr>
          <w:rFonts w:cs="Times New Roman"/>
          <w:lang w:val="en-GB"/>
        </w:rPr>
        <w:tab/>
      </w:r>
      <w:r w:rsidRPr="006314C9">
        <w:rPr>
          <w:rFonts w:cs="Times New Roman"/>
          <w:lang w:val="en-GB"/>
        </w:rPr>
        <w:tab/>
        <w:t>(</w:t>
      </w:r>
      <w:r w:rsidR="001970C3" w:rsidRPr="006314C9">
        <w:rPr>
          <w:rFonts w:cs="Times New Roman"/>
          <w:lang w:val="en-GB"/>
        </w:rPr>
        <w:t>5</w:t>
      </w:r>
      <w:r w:rsidRPr="006314C9">
        <w:rPr>
          <w:rFonts w:cs="Times New Roman"/>
          <w:lang w:val="en-GB"/>
        </w:rPr>
        <w:t xml:space="preserve"> Directives, 6 Regulations and 1 Decision)</w:t>
      </w:r>
    </w:p>
    <w:p w:rsidR="00B718BB" w:rsidRPr="006314C9" w:rsidRDefault="00B718BB" w:rsidP="00152F5E">
      <w:pPr>
        <w:rPr>
          <w:rFonts w:cs="Times New Roman"/>
          <w:i/>
          <w:lang w:val="en-GB"/>
        </w:rPr>
      </w:pPr>
      <w:r w:rsidRPr="006314C9">
        <w:rPr>
          <w:rFonts w:cs="Times New Roman"/>
          <w:b/>
          <w:i/>
          <w:lang w:val="en-GB"/>
        </w:rPr>
        <w:t>Transposition</w:t>
      </w:r>
    </w:p>
    <w:p w:rsidR="00B718BB" w:rsidRPr="006314C9" w:rsidRDefault="00B718BB" w:rsidP="00152F5E">
      <w:pPr>
        <w:rPr>
          <w:rFonts w:cs="Times New Roman"/>
          <w:lang w:val="en-GB"/>
        </w:rPr>
      </w:pPr>
      <w:r w:rsidRPr="006314C9">
        <w:rPr>
          <w:rFonts w:cs="Times New Roman"/>
          <w:lang w:val="en-GB"/>
        </w:rPr>
        <w:t xml:space="preserve">Chapter 27 </w:t>
      </w:r>
      <w:r w:rsidR="00B95D6A" w:rsidRPr="006314C9">
        <w:rPr>
          <w:rFonts w:cs="Times New Roman"/>
          <w:lang w:val="en-GB"/>
        </w:rPr>
        <w:t xml:space="preserve">transposition </w:t>
      </w:r>
      <w:proofErr w:type="gramStart"/>
      <w:r w:rsidR="00B95D6A" w:rsidRPr="006314C9">
        <w:rPr>
          <w:rFonts w:cs="Times New Roman"/>
          <w:lang w:val="en-GB"/>
        </w:rPr>
        <w:t>analysis</w:t>
      </w:r>
      <w:proofErr w:type="gramEnd"/>
      <w:r w:rsidR="00B95D6A" w:rsidRPr="006314C9">
        <w:rPr>
          <w:rFonts w:cs="Times New Roman"/>
          <w:lang w:val="en-GB"/>
        </w:rPr>
        <w:t xml:space="preserve"> of 7</w:t>
      </w:r>
      <w:r w:rsidR="00D17BFB" w:rsidRPr="006314C9">
        <w:rPr>
          <w:rFonts w:cs="Times New Roman"/>
          <w:lang w:val="en-GB"/>
        </w:rPr>
        <w:t xml:space="preserve">3 </w:t>
      </w:r>
      <w:r w:rsidR="00B95D6A" w:rsidRPr="006314C9">
        <w:rPr>
          <w:rFonts w:cs="Times New Roman"/>
          <w:lang w:val="en-GB"/>
        </w:rPr>
        <w:t xml:space="preserve">legal acts shows a mid-level progress with 48 % </w:t>
      </w:r>
      <w:proofErr w:type="spellStart"/>
      <w:r w:rsidR="00B95D6A" w:rsidRPr="006314C9">
        <w:rPr>
          <w:rFonts w:cs="Times New Roman"/>
          <w:lang w:val="en-GB"/>
        </w:rPr>
        <w:t>as</w:t>
      </w:r>
      <w:r w:rsidRPr="006314C9">
        <w:rPr>
          <w:rFonts w:cs="Times New Roman"/>
          <w:lang w:val="en-GB"/>
        </w:rPr>
        <w:t>an</w:t>
      </w:r>
      <w:proofErr w:type="spellEnd"/>
      <w:r w:rsidRPr="006314C9">
        <w:rPr>
          <w:rFonts w:cs="Times New Roman"/>
          <w:lang w:val="en-GB"/>
        </w:rPr>
        <w:t xml:space="preserve"> average value for the whole chapter. However, this average varies very much among sub-chapters with </w:t>
      </w:r>
      <w:r w:rsidR="00FE19F5" w:rsidRPr="006314C9">
        <w:rPr>
          <w:rFonts w:cs="Times New Roman"/>
          <w:lang w:val="en-GB"/>
        </w:rPr>
        <w:t xml:space="preserve">relatively </w:t>
      </w:r>
      <w:r w:rsidRPr="006314C9">
        <w:rPr>
          <w:rFonts w:cs="Times New Roman"/>
          <w:lang w:val="en-GB"/>
        </w:rPr>
        <w:t xml:space="preserve">high level of transposition (Horizontal </w:t>
      </w:r>
      <w:r w:rsidR="00CB3ACC" w:rsidRPr="006314C9">
        <w:rPr>
          <w:rFonts w:cs="Times New Roman"/>
          <w:lang w:val="en-GB"/>
        </w:rPr>
        <w:t>l</w:t>
      </w:r>
      <w:r w:rsidRPr="006314C9">
        <w:rPr>
          <w:rFonts w:cs="Times New Roman"/>
          <w:lang w:val="en-GB"/>
        </w:rPr>
        <w:t xml:space="preserve">egislation) and sub-chapters in the initial stage of transposition (Climate Change). Also, within </w:t>
      </w:r>
      <w:r w:rsidR="00CB3ACC" w:rsidRPr="006314C9">
        <w:rPr>
          <w:rFonts w:cs="Times New Roman"/>
          <w:lang w:val="en-GB"/>
        </w:rPr>
        <w:t xml:space="preserve">the same </w:t>
      </w:r>
      <w:r w:rsidRPr="006314C9">
        <w:rPr>
          <w:rFonts w:cs="Times New Roman"/>
          <w:lang w:val="en-GB"/>
        </w:rPr>
        <w:t>sub-chapter</w:t>
      </w:r>
      <w:r w:rsidR="00CB3ACC" w:rsidRPr="006314C9">
        <w:rPr>
          <w:rFonts w:cs="Times New Roman"/>
          <w:lang w:val="en-GB"/>
        </w:rPr>
        <w:t xml:space="preserve">, </w:t>
      </w:r>
      <w:r w:rsidRPr="006314C9">
        <w:rPr>
          <w:rFonts w:cs="Times New Roman"/>
          <w:lang w:val="en-GB"/>
        </w:rPr>
        <w:t>there are differen</w:t>
      </w:r>
      <w:r w:rsidR="00CB3ACC" w:rsidRPr="006314C9">
        <w:rPr>
          <w:rFonts w:cs="Times New Roman"/>
          <w:lang w:val="en-GB"/>
        </w:rPr>
        <w:t xml:space="preserve">t levels of transposition for </w:t>
      </w:r>
      <w:r w:rsidRPr="006314C9">
        <w:rPr>
          <w:rFonts w:cs="Times New Roman"/>
          <w:lang w:val="en-GB"/>
        </w:rPr>
        <w:t>different</w:t>
      </w:r>
      <w:r w:rsidR="00CB3ACC" w:rsidRPr="006314C9">
        <w:rPr>
          <w:rFonts w:cs="Times New Roman"/>
          <w:lang w:val="en-GB"/>
        </w:rPr>
        <w:t xml:space="preserve"> legal acts</w:t>
      </w:r>
      <w:r w:rsidRPr="006314C9">
        <w:rPr>
          <w:rFonts w:cs="Times New Roman"/>
          <w:lang w:val="en-GB"/>
        </w:rPr>
        <w:t xml:space="preserve">. In overall, 9 legal acts have been assessed as fully transposed, 11 legal acts </w:t>
      </w:r>
      <w:r w:rsidR="00FE19F5" w:rsidRPr="006314C9">
        <w:rPr>
          <w:rFonts w:cs="Times New Roman"/>
          <w:lang w:val="en-GB"/>
        </w:rPr>
        <w:t xml:space="preserve">for which </w:t>
      </w:r>
      <w:r w:rsidR="00F2609D" w:rsidRPr="006314C9">
        <w:rPr>
          <w:rFonts w:cs="Times New Roman"/>
          <w:lang w:val="en-GB"/>
        </w:rPr>
        <w:t>transposition has</w:t>
      </w:r>
      <w:r w:rsidRPr="006314C9">
        <w:rPr>
          <w:rFonts w:cs="Times New Roman"/>
          <w:lang w:val="en-GB"/>
        </w:rPr>
        <w:t xml:space="preserve"> not started </w:t>
      </w:r>
      <w:r w:rsidR="00F2609D" w:rsidRPr="006314C9">
        <w:rPr>
          <w:rFonts w:cs="Times New Roman"/>
          <w:lang w:val="en-GB"/>
        </w:rPr>
        <w:t xml:space="preserve">yet </w:t>
      </w:r>
      <w:r w:rsidRPr="006314C9">
        <w:rPr>
          <w:rFonts w:cs="Times New Roman"/>
          <w:lang w:val="en-GB"/>
        </w:rPr>
        <w:t xml:space="preserve">and the remaining 51 </w:t>
      </w:r>
      <w:r w:rsidR="00F2609D" w:rsidRPr="006314C9">
        <w:rPr>
          <w:rFonts w:cs="Times New Roman"/>
          <w:lang w:val="en-GB"/>
        </w:rPr>
        <w:t>legal act which are at different levels of transposition.</w:t>
      </w:r>
    </w:p>
    <w:p w:rsidR="00B718BB" w:rsidRPr="006314C9" w:rsidRDefault="00B718BB" w:rsidP="00152F5E">
      <w:pPr>
        <w:rPr>
          <w:rFonts w:cs="Times New Roman"/>
          <w:lang w:val="en-GB"/>
        </w:rPr>
      </w:pPr>
      <w:r w:rsidRPr="006314C9">
        <w:rPr>
          <w:rFonts w:cs="Times New Roman"/>
          <w:lang w:val="en-GB"/>
        </w:rPr>
        <w:t xml:space="preserve">On average, the </w:t>
      </w:r>
      <w:r w:rsidRPr="006314C9">
        <w:rPr>
          <w:rFonts w:cs="Times New Roman"/>
          <w:b/>
          <w:lang w:val="en-GB"/>
        </w:rPr>
        <w:t>Horizontal Legislation</w:t>
      </w:r>
      <w:r w:rsidRPr="006314C9">
        <w:rPr>
          <w:rFonts w:cs="Times New Roman"/>
          <w:lang w:val="en-GB"/>
        </w:rPr>
        <w:t xml:space="preserve"> is at an advanced level </w:t>
      </w:r>
      <w:r w:rsidR="00C462A0" w:rsidRPr="006314C9">
        <w:rPr>
          <w:rStyle w:val="FootnoteReference"/>
          <w:rFonts w:cs="Times New Roman"/>
          <w:lang w:val="en-GB"/>
        </w:rPr>
        <w:footnoteReference w:id="1"/>
      </w:r>
      <w:r w:rsidRPr="006314C9">
        <w:rPr>
          <w:rFonts w:cs="Times New Roman"/>
          <w:lang w:val="en-GB"/>
        </w:rPr>
        <w:t xml:space="preserve">of transposition (78.6 %) with 3 </w:t>
      </w:r>
      <w:r w:rsidR="00B164FC" w:rsidRPr="006314C9">
        <w:rPr>
          <w:rFonts w:cs="Times New Roman"/>
          <w:lang w:val="en-GB"/>
        </w:rPr>
        <w:t xml:space="preserve">directives </w:t>
      </w:r>
      <w:r w:rsidRPr="006314C9">
        <w:rPr>
          <w:rFonts w:cs="Times New Roman"/>
          <w:lang w:val="en-GB"/>
        </w:rPr>
        <w:t xml:space="preserve">fully transposed and only 1 </w:t>
      </w:r>
      <w:r w:rsidR="00B164FC" w:rsidRPr="006314C9">
        <w:rPr>
          <w:rFonts w:cs="Times New Roman"/>
          <w:lang w:val="en-GB"/>
        </w:rPr>
        <w:t xml:space="preserve">directive </w:t>
      </w:r>
      <w:r w:rsidR="004614FA" w:rsidRPr="006314C9">
        <w:rPr>
          <w:rFonts w:cs="Times New Roman"/>
          <w:lang w:val="en-GB"/>
        </w:rPr>
        <w:t>at the initial stage (</w:t>
      </w:r>
      <w:r w:rsidRPr="006314C9">
        <w:rPr>
          <w:rFonts w:cs="Times New Roman"/>
          <w:lang w:val="en-GB"/>
        </w:rPr>
        <w:t xml:space="preserve">less than </w:t>
      </w:r>
      <w:r w:rsidR="00FF25EA" w:rsidRPr="006314C9">
        <w:rPr>
          <w:rFonts w:cs="Times New Roman"/>
          <w:lang w:val="en-GB"/>
        </w:rPr>
        <w:t>20</w:t>
      </w:r>
      <w:r w:rsidRPr="006314C9">
        <w:rPr>
          <w:rFonts w:cs="Times New Roman"/>
          <w:lang w:val="en-GB"/>
        </w:rPr>
        <w:t>% transposed</w:t>
      </w:r>
      <w:r w:rsidR="004614FA" w:rsidRPr="006314C9">
        <w:rPr>
          <w:rFonts w:cs="Times New Roman"/>
          <w:lang w:val="en-GB"/>
        </w:rPr>
        <w:t>)</w:t>
      </w:r>
      <w:r w:rsidRPr="006314C9">
        <w:rPr>
          <w:rFonts w:cs="Times New Roman"/>
          <w:lang w:val="en-GB"/>
        </w:rPr>
        <w:t xml:space="preserve"> and the other </w:t>
      </w:r>
      <w:r w:rsidR="00656343" w:rsidRPr="006314C9">
        <w:rPr>
          <w:rFonts w:cs="Times New Roman"/>
          <w:lang w:val="en-GB"/>
        </w:rPr>
        <w:t xml:space="preserve">directives </w:t>
      </w:r>
      <w:proofErr w:type="spellStart"/>
      <w:r w:rsidR="004614FA" w:rsidRPr="006314C9">
        <w:rPr>
          <w:rFonts w:cs="Times New Roman"/>
          <w:lang w:val="en-GB"/>
        </w:rPr>
        <w:t>with</w:t>
      </w:r>
      <w:r w:rsidR="00CA0CD1" w:rsidRPr="006314C9">
        <w:rPr>
          <w:rFonts w:cs="Times New Roman"/>
          <w:lang w:val="en-GB"/>
        </w:rPr>
        <w:t>at</w:t>
      </w:r>
      <w:proofErr w:type="spellEnd"/>
      <w:r w:rsidR="00CA0CD1" w:rsidRPr="006314C9">
        <w:rPr>
          <w:rFonts w:cs="Times New Roman"/>
          <w:lang w:val="en-GB"/>
        </w:rPr>
        <w:t xml:space="preserve"> various levels of partly transposed status. </w:t>
      </w:r>
    </w:p>
    <w:p w:rsidR="00B718BB" w:rsidRPr="006314C9" w:rsidRDefault="00B718BB" w:rsidP="00152F5E">
      <w:pPr>
        <w:rPr>
          <w:rFonts w:cs="Times New Roman"/>
          <w:lang w:val="en-GB"/>
        </w:rPr>
      </w:pPr>
      <w:r w:rsidRPr="006314C9">
        <w:rPr>
          <w:rFonts w:cs="Times New Roman"/>
          <w:lang w:val="en-GB"/>
        </w:rPr>
        <w:t xml:space="preserve">The </w:t>
      </w:r>
      <w:r w:rsidRPr="006314C9">
        <w:rPr>
          <w:rFonts w:cs="Times New Roman"/>
          <w:b/>
          <w:lang w:val="en-GB"/>
        </w:rPr>
        <w:t xml:space="preserve">Air </w:t>
      </w:r>
      <w:proofErr w:type="spellStart"/>
      <w:r w:rsidR="00FB21BE" w:rsidRPr="006314C9">
        <w:rPr>
          <w:rFonts w:cs="Times New Roman"/>
          <w:b/>
          <w:lang w:val="en-GB"/>
        </w:rPr>
        <w:t>Quality</w:t>
      </w:r>
      <w:r w:rsidRPr="006314C9">
        <w:rPr>
          <w:rFonts w:cs="Times New Roman"/>
          <w:lang w:val="en-GB"/>
        </w:rPr>
        <w:t>sub</w:t>
      </w:r>
      <w:proofErr w:type="spellEnd"/>
      <w:r w:rsidRPr="006314C9">
        <w:rPr>
          <w:rFonts w:cs="Times New Roman"/>
          <w:lang w:val="en-GB"/>
        </w:rPr>
        <w:t xml:space="preserve">-chapter </w:t>
      </w:r>
      <w:r w:rsidR="00C462A0" w:rsidRPr="006314C9">
        <w:rPr>
          <w:rFonts w:cs="Times New Roman"/>
          <w:lang w:val="en-GB"/>
        </w:rPr>
        <w:t xml:space="preserve">legislation </w:t>
      </w:r>
      <w:r w:rsidRPr="006314C9">
        <w:rPr>
          <w:rFonts w:cs="Times New Roman"/>
          <w:lang w:val="en-GB"/>
        </w:rPr>
        <w:t xml:space="preserve">is </w:t>
      </w:r>
      <w:r w:rsidR="00C462A0" w:rsidRPr="006314C9">
        <w:rPr>
          <w:rFonts w:cs="Times New Roman"/>
          <w:lang w:val="en-GB"/>
        </w:rPr>
        <w:t>partly</w:t>
      </w:r>
      <w:r w:rsidRPr="006314C9">
        <w:rPr>
          <w:rFonts w:cs="Times New Roman"/>
          <w:lang w:val="en-GB"/>
        </w:rPr>
        <w:t xml:space="preserve"> transpos</w:t>
      </w:r>
      <w:r w:rsidR="00C462A0" w:rsidRPr="006314C9">
        <w:rPr>
          <w:rFonts w:cs="Times New Roman"/>
          <w:lang w:val="en-GB"/>
        </w:rPr>
        <w:t xml:space="preserve">ed </w:t>
      </w:r>
      <w:r w:rsidRPr="006314C9">
        <w:rPr>
          <w:rFonts w:cs="Times New Roman"/>
          <w:lang w:val="en-GB"/>
        </w:rPr>
        <w:t>(66.</w:t>
      </w:r>
      <w:r w:rsidR="00FF25EA" w:rsidRPr="006314C9">
        <w:rPr>
          <w:rFonts w:cs="Times New Roman"/>
          <w:lang w:val="en-GB"/>
        </w:rPr>
        <w:t xml:space="preserve">8 </w:t>
      </w:r>
      <w:r w:rsidRPr="006314C9">
        <w:rPr>
          <w:rFonts w:cs="Times New Roman"/>
          <w:lang w:val="en-GB"/>
        </w:rPr>
        <w:t>%)</w:t>
      </w:r>
      <w:r w:rsidR="00C462A0" w:rsidRPr="006314C9">
        <w:rPr>
          <w:rFonts w:cs="Times New Roman"/>
          <w:lang w:val="en-GB"/>
        </w:rPr>
        <w:t xml:space="preserve"> with 2</w:t>
      </w:r>
      <w:r w:rsidRPr="006314C9">
        <w:rPr>
          <w:rFonts w:cs="Times New Roman"/>
          <w:lang w:val="en-GB"/>
        </w:rPr>
        <w:t xml:space="preserve">fully transposed </w:t>
      </w:r>
      <w:r w:rsidR="00C462A0" w:rsidRPr="006314C9">
        <w:rPr>
          <w:rFonts w:cs="Times New Roman"/>
          <w:lang w:val="en-GB"/>
        </w:rPr>
        <w:t>directives and</w:t>
      </w:r>
      <w:r w:rsidRPr="006314C9">
        <w:rPr>
          <w:rFonts w:cs="Times New Roman"/>
          <w:lang w:val="en-GB"/>
        </w:rPr>
        <w:t xml:space="preserve">2 directives at the initial </w:t>
      </w:r>
      <w:proofErr w:type="spellStart"/>
      <w:r w:rsidR="00656343" w:rsidRPr="006314C9">
        <w:rPr>
          <w:rFonts w:cs="Times New Roman"/>
          <w:lang w:val="en-GB"/>
        </w:rPr>
        <w:t>stage</w:t>
      </w:r>
      <w:r w:rsidRPr="006314C9">
        <w:rPr>
          <w:rFonts w:cs="Times New Roman"/>
          <w:lang w:val="en-GB"/>
        </w:rPr>
        <w:t>of</w:t>
      </w:r>
      <w:proofErr w:type="spellEnd"/>
      <w:r w:rsidRPr="006314C9">
        <w:rPr>
          <w:rFonts w:cs="Times New Roman"/>
          <w:lang w:val="en-GB"/>
        </w:rPr>
        <w:t xml:space="preserve"> transposition. </w:t>
      </w:r>
    </w:p>
    <w:p w:rsidR="00B718BB" w:rsidRPr="006314C9" w:rsidRDefault="00B718BB" w:rsidP="00152F5E">
      <w:pPr>
        <w:rPr>
          <w:rFonts w:cs="Times New Roman"/>
          <w:lang w:val="en-GB"/>
        </w:rPr>
      </w:pPr>
      <w:r w:rsidRPr="006314C9">
        <w:rPr>
          <w:rFonts w:cs="Times New Roman"/>
          <w:lang w:val="en-GB"/>
        </w:rPr>
        <w:t xml:space="preserve">The </w:t>
      </w:r>
      <w:r w:rsidRPr="006314C9">
        <w:rPr>
          <w:rFonts w:cs="Times New Roman"/>
          <w:b/>
          <w:lang w:val="en-GB"/>
        </w:rPr>
        <w:t>Waste Management</w:t>
      </w:r>
      <w:r w:rsidRPr="006314C9">
        <w:rPr>
          <w:rFonts w:cs="Times New Roman"/>
          <w:lang w:val="en-GB"/>
        </w:rPr>
        <w:t xml:space="preserve"> sub-chapter </w:t>
      </w:r>
      <w:r w:rsidR="00CA0CD1" w:rsidRPr="006314C9">
        <w:rPr>
          <w:rFonts w:cs="Times New Roman"/>
          <w:lang w:val="en-GB"/>
        </w:rPr>
        <w:t xml:space="preserve">legal acts </w:t>
      </w:r>
      <w:proofErr w:type="spellStart"/>
      <w:r w:rsidR="00CA0CD1" w:rsidRPr="006314C9">
        <w:rPr>
          <w:rFonts w:cs="Times New Roman"/>
          <w:lang w:val="en-GB"/>
        </w:rPr>
        <w:t>arepartly</w:t>
      </w:r>
      <w:proofErr w:type="spellEnd"/>
      <w:r w:rsidRPr="006314C9">
        <w:rPr>
          <w:rFonts w:cs="Times New Roman"/>
          <w:lang w:val="en-GB"/>
        </w:rPr>
        <w:t xml:space="preserve"> transpos</w:t>
      </w:r>
      <w:r w:rsidR="00CA0CD1" w:rsidRPr="006314C9">
        <w:rPr>
          <w:rFonts w:cs="Times New Roman"/>
          <w:lang w:val="en-GB"/>
        </w:rPr>
        <w:t xml:space="preserve">ed </w:t>
      </w:r>
      <w:r w:rsidRPr="006314C9">
        <w:rPr>
          <w:rFonts w:cs="Times New Roman"/>
          <w:lang w:val="en-GB"/>
        </w:rPr>
        <w:t>(53.</w:t>
      </w:r>
      <w:r w:rsidR="00FF25EA" w:rsidRPr="006314C9">
        <w:rPr>
          <w:rFonts w:cs="Times New Roman"/>
          <w:lang w:val="en-GB"/>
        </w:rPr>
        <w:t xml:space="preserve">7 </w:t>
      </w:r>
      <w:r w:rsidRPr="006314C9">
        <w:rPr>
          <w:rFonts w:cs="Times New Roman"/>
          <w:lang w:val="en-GB"/>
        </w:rPr>
        <w:t xml:space="preserve">%). </w:t>
      </w:r>
      <w:r w:rsidR="00B164FC" w:rsidRPr="006314C9">
        <w:rPr>
          <w:rFonts w:cs="Times New Roman"/>
          <w:lang w:val="en-GB"/>
        </w:rPr>
        <w:t xml:space="preserve">One directive </w:t>
      </w:r>
      <w:r w:rsidRPr="006314C9">
        <w:rPr>
          <w:rFonts w:cs="Times New Roman"/>
          <w:lang w:val="en-GB"/>
        </w:rPr>
        <w:t xml:space="preserve">is fully transposed while </w:t>
      </w:r>
      <w:r w:rsidR="004614FA" w:rsidRPr="006314C9">
        <w:rPr>
          <w:rFonts w:cs="Times New Roman"/>
          <w:lang w:val="en-GB"/>
        </w:rPr>
        <w:t xml:space="preserve">for </w:t>
      </w:r>
      <w:r w:rsidRPr="006314C9">
        <w:rPr>
          <w:rFonts w:cs="Times New Roman"/>
          <w:lang w:val="en-GB"/>
        </w:rPr>
        <w:t xml:space="preserve">1 directive and 1 regulation transposition </w:t>
      </w:r>
      <w:r w:rsidR="004614FA" w:rsidRPr="006314C9">
        <w:rPr>
          <w:rFonts w:cs="Times New Roman"/>
          <w:lang w:val="en-GB"/>
        </w:rPr>
        <w:t xml:space="preserve">has not started </w:t>
      </w:r>
      <w:proofErr w:type="spellStart"/>
      <w:r w:rsidRPr="006314C9">
        <w:rPr>
          <w:rFonts w:cs="Times New Roman"/>
          <w:lang w:val="en-GB"/>
        </w:rPr>
        <w:t>yet.</w:t>
      </w:r>
      <w:r w:rsidR="00CA0CD1" w:rsidRPr="006314C9">
        <w:rPr>
          <w:rFonts w:cs="Times New Roman"/>
          <w:lang w:val="en-GB"/>
        </w:rPr>
        <w:t>The</w:t>
      </w:r>
      <w:proofErr w:type="spellEnd"/>
      <w:r w:rsidR="00CA0CD1" w:rsidRPr="006314C9">
        <w:rPr>
          <w:rFonts w:cs="Times New Roman"/>
          <w:lang w:val="en-GB"/>
        </w:rPr>
        <w:t xml:space="preserve"> other directives are at various levels of partly transposed status.</w:t>
      </w:r>
    </w:p>
    <w:p w:rsidR="00B718BB" w:rsidRPr="006314C9" w:rsidRDefault="00B718BB" w:rsidP="00152F5E">
      <w:pPr>
        <w:rPr>
          <w:rFonts w:cs="Times New Roman"/>
          <w:lang w:val="en-GB"/>
        </w:rPr>
      </w:pPr>
      <w:r w:rsidRPr="006314C9">
        <w:rPr>
          <w:rFonts w:cs="Times New Roman"/>
          <w:lang w:val="en-GB"/>
        </w:rPr>
        <w:t xml:space="preserve">The </w:t>
      </w:r>
      <w:r w:rsidRPr="006314C9">
        <w:rPr>
          <w:rFonts w:cs="Times New Roman"/>
          <w:b/>
          <w:lang w:val="en-GB"/>
        </w:rPr>
        <w:t>Water Quality</w:t>
      </w:r>
      <w:r w:rsidRPr="006314C9">
        <w:rPr>
          <w:rFonts w:cs="Times New Roman"/>
          <w:lang w:val="en-GB"/>
        </w:rPr>
        <w:t xml:space="preserve"> sub-chapter </w:t>
      </w:r>
      <w:r w:rsidR="00CA0CD1" w:rsidRPr="006314C9">
        <w:rPr>
          <w:rFonts w:cs="Times New Roman"/>
          <w:lang w:val="en-GB"/>
        </w:rPr>
        <w:t xml:space="preserve">legal acts </w:t>
      </w:r>
      <w:proofErr w:type="spellStart"/>
      <w:r w:rsidR="00CA0CD1" w:rsidRPr="006314C9">
        <w:rPr>
          <w:rFonts w:cs="Times New Roman"/>
          <w:lang w:val="en-GB"/>
        </w:rPr>
        <w:t>arepartly</w:t>
      </w:r>
      <w:proofErr w:type="spellEnd"/>
      <w:r w:rsidR="00CA0CD1" w:rsidRPr="006314C9">
        <w:rPr>
          <w:rFonts w:cs="Times New Roman"/>
          <w:lang w:val="en-GB"/>
        </w:rPr>
        <w:t xml:space="preserve"> </w:t>
      </w:r>
      <w:proofErr w:type="gramStart"/>
      <w:r w:rsidR="00CA0CD1" w:rsidRPr="006314C9">
        <w:rPr>
          <w:rFonts w:cs="Times New Roman"/>
          <w:lang w:val="en-GB"/>
        </w:rPr>
        <w:t>transposed</w:t>
      </w:r>
      <w:r w:rsidRPr="006314C9">
        <w:rPr>
          <w:rFonts w:cs="Times New Roman"/>
          <w:lang w:val="en-GB"/>
        </w:rPr>
        <w:t>(</w:t>
      </w:r>
      <w:proofErr w:type="gramEnd"/>
      <w:r w:rsidR="00FF25EA" w:rsidRPr="006314C9">
        <w:rPr>
          <w:rFonts w:cs="Times New Roman"/>
          <w:lang w:val="en-GB"/>
        </w:rPr>
        <w:t>35</w:t>
      </w:r>
      <w:r w:rsidRPr="006314C9">
        <w:rPr>
          <w:rFonts w:cs="Times New Roman"/>
          <w:lang w:val="en-GB"/>
        </w:rPr>
        <w:t xml:space="preserve"> %). </w:t>
      </w:r>
      <w:r w:rsidR="00B164FC" w:rsidRPr="006314C9">
        <w:rPr>
          <w:rFonts w:cs="Times New Roman"/>
          <w:lang w:val="en-GB"/>
        </w:rPr>
        <w:t xml:space="preserve">Two directives </w:t>
      </w:r>
      <w:r w:rsidRPr="006314C9">
        <w:rPr>
          <w:rFonts w:cs="Times New Roman"/>
          <w:lang w:val="en-GB"/>
        </w:rPr>
        <w:t xml:space="preserve">are fully transposed while </w:t>
      </w:r>
      <w:r w:rsidR="00053544" w:rsidRPr="006314C9">
        <w:rPr>
          <w:rFonts w:cs="Times New Roman"/>
          <w:lang w:val="en-GB"/>
        </w:rPr>
        <w:t xml:space="preserve">for </w:t>
      </w:r>
      <w:r w:rsidRPr="006314C9">
        <w:rPr>
          <w:rFonts w:cs="Times New Roman"/>
          <w:lang w:val="en-GB"/>
        </w:rPr>
        <w:t xml:space="preserve">2 directives </w:t>
      </w:r>
      <w:r w:rsidR="00053544" w:rsidRPr="006314C9">
        <w:rPr>
          <w:rFonts w:cs="Times New Roman"/>
          <w:lang w:val="en-GB"/>
        </w:rPr>
        <w:t xml:space="preserve">transposition has not started </w:t>
      </w:r>
      <w:proofErr w:type="gramStart"/>
      <w:r w:rsidR="00053544" w:rsidRPr="006314C9">
        <w:rPr>
          <w:rFonts w:cs="Times New Roman"/>
          <w:lang w:val="en-GB"/>
        </w:rPr>
        <w:t>yet</w:t>
      </w:r>
      <w:r w:rsidRPr="006314C9">
        <w:rPr>
          <w:rFonts w:cs="Times New Roman"/>
          <w:lang w:val="en-GB"/>
        </w:rPr>
        <w:t>(</w:t>
      </w:r>
      <w:proofErr w:type="gramEnd"/>
      <w:r w:rsidR="00F94BFC" w:rsidRPr="006314C9">
        <w:rPr>
          <w:rFonts w:cs="Times New Roman"/>
          <w:lang w:val="en-GB"/>
        </w:rPr>
        <w:t>although draft legal acts that will partially transpose them have been prepared</w:t>
      </w:r>
      <w:r w:rsidRPr="006314C9">
        <w:rPr>
          <w:rFonts w:cs="Times New Roman"/>
          <w:lang w:val="en-GB"/>
        </w:rPr>
        <w:t>).</w:t>
      </w:r>
      <w:r w:rsidR="00CA0CD1" w:rsidRPr="006314C9">
        <w:rPr>
          <w:rFonts w:cs="Times New Roman"/>
          <w:lang w:val="en-GB"/>
        </w:rPr>
        <w:t xml:space="preserve"> The other directives are at various levels of partly transposed status.</w:t>
      </w:r>
    </w:p>
    <w:p w:rsidR="00B718BB" w:rsidRPr="006314C9" w:rsidRDefault="00B718BB" w:rsidP="00152F5E">
      <w:pPr>
        <w:rPr>
          <w:rFonts w:cs="Times New Roman"/>
          <w:lang w:val="en-GB"/>
        </w:rPr>
      </w:pPr>
      <w:r w:rsidRPr="006314C9">
        <w:rPr>
          <w:rFonts w:cs="Times New Roman"/>
          <w:lang w:val="en-GB"/>
        </w:rPr>
        <w:lastRenderedPageBreak/>
        <w:t xml:space="preserve">The </w:t>
      </w:r>
      <w:r w:rsidRPr="006314C9">
        <w:rPr>
          <w:rFonts w:cs="Times New Roman"/>
          <w:b/>
          <w:lang w:val="en-GB"/>
        </w:rPr>
        <w:t>Nature Protection</w:t>
      </w:r>
      <w:r w:rsidRPr="006314C9">
        <w:rPr>
          <w:rFonts w:cs="Times New Roman"/>
          <w:lang w:val="en-GB"/>
        </w:rPr>
        <w:t xml:space="preserve"> sub-chapter </w:t>
      </w:r>
      <w:r w:rsidR="00CA0CD1" w:rsidRPr="006314C9">
        <w:rPr>
          <w:rFonts w:cs="Times New Roman"/>
          <w:lang w:val="en-GB"/>
        </w:rPr>
        <w:t xml:space="preserve">legal acts </w:t>
      </w:r>
      <w:proofErr w:type="spellStart"/>
      <w:r w:rsidR="00CA0CD1" w:rsidRPr="006314C9">
        <w:rPr>
          <w:rFonts w:cs="Times New Roman"/>
          <w:lang w:val="en-GB"/>
        </w:rPr>
        <w:t>arepartly</w:t>
      </w:r>
      <w:proofErr w:type="spellEnd"/>
      <w:r w:rsidR="00CA0CD1" w:rsidRPr="006314C9">
        <w:rPr>
          <w:rFonts w:cs="Times New Roman"/>
          <w:lang w:val="en-GB"/>
        </w:rPr>
        <w:t xml:space="preserve"> </w:t>
      </w:r>
      <w:proofErr w:type="gramStart"/>
      <w:r w:rsidR="00CA0CD1" w:rsidRPr="006314C9">
        <w:rPr>
          <w:rFonts w:cs="Times New Roman"/>
          <w:lang w:val="en-GB"/>
        </w:rPr>
        <w:t>transposed</w:t>
      </w:r>
      <w:r w:rsidRPr="006314C9">
        <w:rPr>
          <w:rFonts w:cs="Times New Roman"/>
          <w:lang w:val="en-GB"/>
        </w:rPr>
        <w:t>(</w:t>
      </w:r>
      <w:proofErr w:type="gramEnd"/>
      <w:r w:rsidR="00FF25EA" w:rsidRPr="006314C9">
        <w:rPr>
          <w:rFonts w:cs="Times New Roman"/>
          <w:lang w:val="en-GB"/>
        </w:rPr>
        <w:t>33</w:t>
      </w:r>
      <w:r w:rsidRPr="006314C9">
        <w:rPr>
          <w:rFonts w:cs="Times New Roman"/>
          <w:lang w:val="en-GB"/>
        </w:rPr>
        <w:t xml:space="preserve"> %). </w:t>
      </w:r>
      <w:proofErr w:type="gramStart"/>
      <w:r w:rsidRPr="006314C9">
        <w:rPr>
          <w:rFonts w:cs="Times New Roman"/>
          <w:lang w:val="en-GB"/>
        </w:rPr>
        <w:t xml:space="preserve">No </w:t>
      </w:r>
      <w:r w:rsidR="00B164FC" w:rsidRPr="006314C9">
        <w:rPr>
          <w:rFonts w:cs="Times New Roman"/>
          <w:lang w:val="en-GB"/>
        </w:rPr>
        <w:t xml:space="preserve">one directive </w:t>
      </w:r>
      <w:proofErr w:type="spellStart"/>
      <w:r w:rsidRPr="006314C9">
        <w:rPr>
          <w:rFonts w:cs="Times New Roman"/>
          <w:lang w:val="en-GB"/>
        </w:rPr>
        <w:t>ha</w:t>
      </w:r>
      <w:r w:rsidR="00B164FC" w:rsidRPr="006314C9">
        <w:rPr>
          <w:rFonts w:cs="Times New Roman"/>
          <w:lang w:val="en-GB"/>
        </w:rPr>
        <w:t>s</w:t>
      </w:r>
      <w:r w:rsidRPr="006314C9">
        <w:rPr>
          <w:rFonts w:cs="Times New Roman"/>
          <w:lang w:val="en-GB"/>
        </w:rPr>
        <w:t>been</w:t>
      </w:r>
      <w:proofErr w:type="spellEnd"/>
      <w:r w:rsidRPr="006314C9">
        <w:rPr>
          <w:rFonts w:cs="Times New Roman"/>
          <w:lang w:val="en-GB"/>
        </w:rPr>
        <w:t xml:space="preserve"> fully transposed but </w:t>
      </w:r>
      <w:r w:rsidR="00CA0CD1" w:rsidRPr="006314C9">
        <w:rPr>
          <w:rFonts w:cs="Times New Roman"/>
          <w:lang w:val="en-GB"/>
        </w:rPr>
        <w:t>2</w:t>
      </w:r>
      <w:r w:rsidRPr="006314C9">
        <w:rPr>
          <w:rFonts w:cs="Times New Roman"/>
          <w:lang w:val="en-GB"/>
        </w:rPr>
        <w:t xml:space="preserve">main directives are at an advanced stage of transposition while </w:t>
      </w:r>
      <w:r w:rsidR="00B164FC" w:rsidRPr="006314C9">
        <w:rPr>
          <w:rFonts w:cs="Times New Roman"/>
          <w:lang w:val="en-GB"/>
        </w:rPr>
        <w:t xml:space="preserve">for </w:t>
      </w:r>
      <w:r w:rsidRPr="006314C9">
        <w:rPr>
          <w:rFonts w:cs="Times New Roman"/>
          <w:lang w:val="en-GB"/>
        </w:rPr>
        <w:t xml:space="preserve">1 </w:t>
      </w:r>
      <w:r w:rsidR="00B164FC" w:rsidRPr="006314C9">
        <w:rPr>
          <w:rFonts w:cs="Times New Roman"/>
          <w:lang w:val="en-GB"/>
        </w:rPr>
        <w:t xml:space="preserve">directive </w:t>
      </w:r>
      <w:r w:rsidRPr="006314C9">
        <w:rPr>
          <w:rFonts w:cs="Times New Roman"/>
          <w:lang w:val="en-GB"/>
        </w:rPr>
        <w:t xml:space="preserve">and 1 </w:t>
      </w:r>
      <w:r w:rsidR="00B164FC" w:rsidRPr="006314C9">
        <w:rPr>
          <w:rFonts w:cs="Times New Roman"/>
          <w:lang w:val="en-GB"/>
        </w:rPr>
        <w:t>regulation transposition has not started yet</w:t>
      </w:r>
      <w:r w:rsidRPr="006314C9">
        <w:rPr>
          <w:rFonts w:cs="Times New Roman"/>
          <w:lang w:val="en-GB"/>
        </w:rPr>
        <w:t>.</w:t>
      </w:r>
      <w:proofErr w:type="gramEnd"/>
      <w:r w:rsidR="00CA0CD1" w:rsidRPr="006314C9">
        <w:rPr>
          <w:rFonts w:cs="Times New Roman"/>
          <w:lang w:val="en-GB"/>
        </w:rPr>
        <w:t xml:space="preserve"> The other directives are at various levels of partly transposed status.</w:t>
      </w:r>
    </w:p>
    <w:p w:rsidR="00B718BB" w:rsidRPr="006314C9" w:rsidRDefault="00B718BB" w:rsidP="00152F5E">
      <w:pPr>
        <w:rPr>
          <w:rFonts w:cs="Times New Roman"/>
          <w:lang w:val="en-GB"/>
        </w:rPr>
      </w:pPr>
      <w:r w:rsidRPr="006314C9">
        <w:rPr>
          <w:rFonts w:cs="Times New Roman"/>
          <w:lang w:val="en-GB"/>
        </w:rPr>
        <w:t xml:space="preserve">The </w:t>
      </w:r>
      <w:r w:rsidRPr="006314C9">
        <w:rPr>
          <w:rFonts w:cs="Times New Roman"/>
          <w:b/>
          <w:lang w:val="en-GB"/>
        </w:rPr>
        <w:t>Industrial Pollution Control</w:t>
      </w:r>
      <w:r w:rsidRPr="006314C9">
        <w:rPr>
          <w:rFonts w:cs="Times New Roman"/>
          <w:lang w:val="en-GB"/>
        </w:rPr>
        <w:t xml:space="preserve"> sub-chapter </w:t>
      </w:r>
      <w:r w:rsidR="00CA0CD1" w:rsidRPr="006314C9">
        <w:rPr>
          <w:rFonts w:cs="Times New Roman"/>
          <w:lang w:val="en-GB"/>
        </w:rPr>
        <w:t xml:space="preserve">legal acts </w:t>
      </w:r>
      <w:proofErr w:type="spellStart"/>
      <w:r w:rsidR="00CA0CD1" w:rsidRPr="006314C9">
        <w:rPr>
          <w:rFonts w:cs="Times New Roman"/>
          <w:lang w:val="en-GB"/>
        </w:rPr>
        <w:t>arepartly</w:t>
      </w:r>
      <w:proofErr w:type="spellEnd"/>
      <w:r w:rsidR="00CA0CD1" w:rsidRPr="006314C9">
        <w:rPr>
          <w:rFonts w:cs="Times New Roman"/>
          <w:lang w:val="en-GB"/>
        </w:rPr>
        <w:t xml:space="preserve"> </w:t>
      </w:r>
      <w:proofErr w:type="gramStart"/>
      <w:r w:rsidR="00CA0CD1" w:rsidRPr="006314C9">
        <w:rPr>
          <w:rFonts w:cs="Times New Roman"/>
          <w:lang w:val="en-GB"/>
        </w:rPr>
        <w:t>transposed</w:t>
      </w:r>
      <w:r w:rsidRPr="006314C9">
        <w:rPr>
          <w:rFonts w:cs="Times New Roman"/>
          <w:lang w:val="en-GB"/>
        </w:rPr>
        <w:t>(</w:t>
      </w:r>
      <w:proofErr w:type="gramEnd"/>
      <w:r w:rsidRPr="006314C9">
        <w:rPr>
          <w:rFonts w:cs="Times New Roman"/>
          <w:lang w:val="en-GB"/>
        </w:rPr>
        <w:t>44.</w:t>
      </w:r>
      <w:r w:rsidR="00FF25EA" w:rsidRPr="006314C9">
        <w:rPr>
          <w:rFonts w:cs="Times New Roman"/>
          <w:lang w:val="en-GB"/>
        </w:rPr>
        <w:t xml:space="preserve">5 </w:t>
      </w:r>
      <w:r w:rsidRPr="006314C9">
        <w:rPr>
          <w:rFonts w:cs="Times New Roman"/>
          <w:lang w:val="en-GB"/>
        </w:rPr>
        <w:t xml:space="preserve">%). Only 1 </w:t>
      </w:r>
      <w:r w:rsidR="00B164FC" w:rsidRPr="006314C9">
        <w:rPr>
          <w:rFonts w:cs="Times New Roman"/>
          <w:lang w:val="en-GB"/>
        </w:rPr>
        <w:t xml:space="preserve">directive </w:t>
      </w:r>
      <w:r w:rsidRPr="006314C9">
        <w:rPr>
          <w:rFonts w:cs="Times New Roman"/>
          <w:lang w:val="en-GB"/>
        </w:rPr>
        <w:t xml:space="preserve">has been fully transposed while </w:t>
      </w:r>
      <w:r w:rsidR="00B164FC" w:rsidRPr="006314C9">
        <w:rPr>
          <w:rFonts w:cs="Times New Roman"/>
          <w:lang w:val="en-GB"/>
        </w:rPr>
        <w:t xml:space="preserve">for </w:t>
      </w:r>
      <w:r w:rsidRPr="006314C9">
        <w:rPr>
          <w:rFonts w:cs="Times New Roman"/>
          <w:lang w:val="en-GB"/>
        </w:rPr>
        <w:t xml:space="preserve">2 directives </w:t>
      </w:r>
      <w:r w:rsidR="00B164FC" w:rsidRPr="006314C9">
        <w:rPr>
          <w:rFonts w:cs="Times New Roman"/>
          <w:lang w:val="en-GB"/>
        </w:rPr>
        <w:t>transposition has not started yet</w:t>
      </w:r>
      <w:r w:rsidRPr="006314C9">
        <w:rPr>
          <w:rFonts w:cs="Times New Roman"/>
          <w:lang w:val="en-GB"/>
        </w:rPr>
        <w:t xml:space="preserve"> (although draft legal acts </w:t>
      </w:r>
      <w:r w:rsidR="001970C3" w:rsidRPr="006314C9">
        <w:rPr>
          <w:rFonts w:cs="Times New Roman"/>
          <w:lang w:val="en-GB"/>
        </w:rPr>
        <w:t xml:space="preserve">that will </w:t>
      </w:r>
      <w:r w:rsidR="00CA0CD1" w:rsidRPr="006314C9">
        <w:rPr>
          <w:rFonts w:cs="Times New Roman"/>
          <w:lang w:val="en-GB"/>
        </w:rPr>
        <w:t xml:space="preserve">partially </w:t>
      </w:r>
      <w:r w:rsidRPr="006314C9">
        <w:rPr>
          <w:rFonts w:cs="Times New Roman"/>
          <w:lang w:val="en-GB"/>
        </w:rPr>
        <w:t>transpos</w:t>
      </w:r>
      <w:r w:rsidR="001970C3" w:rsidRPr="006314C9">
        <w:rPr>
          <w:rFonts w:cs="Times New Roman"/>
          <w:lang w:val="en-GB"/>
        </w:rPr>
        <w:t>e</w:t>
      </w:r>
      <w:r w:rsidRPr="006314C9">
        <w:rPr>
          <w:rFonts w:cs="Times New Roman"/>
          <w:lang w:val="en-GB"/>
        </w:rPr>
        <w:t xml:space="preserve"> them have been prepared).</w:t>
      </w:r>
    </w:p>
    <w:p w:rsidR="00B718BB" w:rsidRPr="006314C9" w:rsidRDefault="00B718BB" w:rsidP="00152F5E">
      <w:pPr>
        <w:rPr>
          <w:rFonts w:cs="Times New Roman"/>
          <w:lang w:val="en-GB"/>
        </w:rPr>
      </w:pPr>
      <w:r w:rsidRPr="006314C9">
        <w:rPr>
          <w:rFonts w:cs="Times New Roman"/>
          <w:lang w:val="en-GB"/>
        </w:rPr>
        <w:t xml:space="preserve">The </w:t>
      </w:r>
      <w:r w:rsidRPr="006314C9">
        <w:rPr>
          <w:rFonts w:cs="Times New Roman"/>
          <w:b/>
          <w:lang w:val="en-GB"/>
        </w:rPr>
        <w:t>Chemicals</w:t>
      </w:r>
      <w:r w:rsidRPr="006314C9">
        <w:rPr>
          <w:rFonts w:cs="Times New Roman"/>
          <w:lang w:val="en-GB"/>
        </w:rPr>
        <w:t xml:space="preserve"> sub-</w:t>
      </w:r>
      <w:proofErr w:type="spellStart"/>
      <w:r w:rsidRPr="006314C9">
        <w:rPr>
          <w:rFonts w:cs="Times New Roman"/>
          <w:lang w:val="en-GB"/>
        </w:rPr>
        <w:t>chapter</w:t>
      </w:r>
      <w:r w:rsidR="00CA0CD1" w:rsidRPr="006314C9">
        <w:rPr>
          <w:rFonts w:cs="Times New Roman"/>
          <w:lang w:val="en-GB"/>
        </w:rPr>
        <w:t>legal</w:t>
      </w:r>
      <w:proofErr w:type="spellEnd"/>
      <w:r w:rsidR="00CA0CD1" w:rsidRPr="006314C9">
        <w:rPr>
          <w:rFonts w:cs="Times New Roman"/>
          <w:lang w:val="en-GB"/>
        </w:rPr>
        <w:t xml:space="preserve"> acts </w:t>
      </w:r>
      <w:proofErr w:type="spellStart"/>
      <w:r w:rsidR="00CA0CD1" w:rsidRPr="006314C9">
        <w:rPr>
          <w:rFonts w:cs="Times New Roman"/>
          <w:lang w:val="en-GB"/>
        </w:rPr>
        <w:t>arepartly</w:t>
      </w:r>
      <w:proofErr w:type="spellEnd"/>
      <w:r w:rsidR="00CA0CD1" w:rsidRPr="006314C9">
        <w:rPr>
          <w:rFonts w:cs="Times New Roman"/>
          <w:lang w:val="en-GB"/>
        </w:rPr>
        <w:t xml:space="preserve"> </w:t>
      </w:r>
      <w:proofErr w:type="gramStart"/>
      <w:r w:rsidR="00CA0CD1" w:rsidRPr="006314C9">
        <w:rPr>
          <w:rFonts w:cs="Times New Roman"/>
          <w:lang w:val="en-GB"/>
        </w:rPr>
        <w:t>transposed</w:t>
      </w:r>
      <w:r w:rsidRPr="006314C9">
        <w:rPr>
          <w:rFonts w:cs="Times New Roman"/>
          <w:lang w:val="en-GB"/>
        </w:rPr>
        <w:t>(</w:t>
      </w:r>
      <w:proofErr w:type="gramEnd"/>
      <w:r w:rsidR="00FF25EA" w:rsidRPr="006314C9">
        <w:rPr>
          <w:rFonts w:cs="Times New Roman"/>
          <w:lang w:val="en-GB"/>
        </w:rPr>
        <w:t>29.4</w:t>
      </w:r>
      <w:r w:rsidRPr="006314C9">
        <w:rPr>
          <w:rFonts w:cs="Times New Roman"/>
          <w:lang w:val="en-GB"/>
        </w:rPr>
        <w:t xml:space="preserve"> %). </w:t>
      </w:r>
      <w:proofErr w:type="spellStart"/>
      <w:r w:rsidR="00CA0CD1" w:rsidRPr="006314C9">
        <w:rPr>
          <w:rFonts w:cs="Times New Roman"/>
          <w:lang w:val="en-GB"/>
        </w:rPr>
        <w:t>One</w:t>
      </w:r>
      <w:r w:rsidR="00B164FC" w:rsidRPr="006314C9">
        <w:rPr>
          <w:rFonts w:cs="Times New Roman"/>
          <w:lang w:val="en-GB"/>
        </w:rPr>
        <w:t>directive</w:t>
      </w:r>
      <w:proofErr w:type="spellEnd"/>
      <w:r w:rsidR="00B164FC" w:rsidRPr="006314C9">
        <w:rPr>
          <w:rFonts w:cs="Times New Roman"/>
          <w:lang w:val="en-GB"/>
        </w:rPr>
        <w:t xml:space="preserve"> </w:t>
      </w:r>
      <w:r w:rsidRPr="006314C9">
        <w:rPr>
          <w:rFonts w:cs="Times New Roman"/>
          <w:lang w:val="en-GB"/>
        </w:rPr>
        <w:t xml:space="preserve">is fully transposed while </w:t>
      </w:r>
      <w:r w:rsidR="00B164FC" w:rsidRPr="006314C9">
        <w:rPr>
          <w:rFonts w:cs="Times New Roman"/>
          <w:lang w:val="en-GB"/>
        </w:rPr>
        <w:t xml:space="preserve">for </w:t>
      </w:r>
      <w:r w:rsidRPr="006314C9">
        <w:rPr>
          <w:rFonts w:cs="Times New Roman"/>
          <w:lang w:val="en-GB"/>
        </w:rPr>
        <w:t xml:space="preserve">1 directive </w:t>
      </w:r>
      <w:r w:rsidR="00B164FC" w:rsidRPr="006314C9">
        <w:rPr>
          <w:rFonts w:cs="Times New Roman"/>
          <w:lang w:val="en-GB"/>
        </w:rPr>
        <w:t>transposition has not started yet</w:t>
      </w:r>
      <w:r w:rsidRPr="006314C9">
        <w:rPr>
          <w:rFonts w:cs="Times New Roman"/>
          <w:lang w:val="en-GB"/>
        </w:rPr>
        <w:t xml:space="preserve"> (</w:t>
      </w:r>
      <w:r w:rsidR="001970C3" w:rsidRPr="006314C9">
        <w:rPr>
          <w:rFonts w:cs="Times New Roman"/>
          <w:lang w:val="en-GB"/>
        </w:rPr>
        <w:t>although draft legal acts that will partially transpose them have been prepared</w:t>
      </w:r>
      <w:r w:rsidRPr="006314C9">
        <w:rPr>
          <w:rFonts w:cs="Times New Roman"/>
          <w:lang w:val="en-GB"/>
        </w:rPr>
        <w:t xml:space="preserve">) and 1 </w:t>
      </w:r>
      <w:r w:rsidR="00B164FC" w:rsidRPr="006314C9">
        <w:rPr>
          <w:rFonts w:cs="Times New Roman"/>
          <w:lang w:val="en-GB"/>
        </w:rPr>
        <w:t xml:space="preserve">regulation </w:t>
      </w:r>
      <w:r w:rsidRPr="006314C9">
        <w:rPr>
          <w:rFonts w:cs="Times New Roman"/>
          <w:lang w:val="en-GB"/>
        </w:rPr>
        <w:t xml:space="preserve">is in the initial phase of </w:t>
      </w:r>
      <w:proofErr w:type="spellStart"/>
      <w:r w:rsidRPr="006314C9">
        <w:rPr>
          <w:rFonts w:cs="Times New Roman"/>
          <w:lang w:val="en-GB"/>
        </w:rPr>
        <w:t>transposition.</w:t>
      </w:r>
      <w:r w:rsidR="00CA0CD1" w:rsidRPr="006314C9">
        <w:rPr>
          <w:rFonts w:cs="Times New Roman"/>
          <w:lang w:val="en-GB"/>
        </w:rPr>
        <w:t>The</w:t>
      </w:r>
      <w:proofErr w:type="spellEnd"/>
      <w:r w:rsidR="00CA0CD1" w:rsidRPr="006314C9">
        <w:rPr>
          <w:rFonts w:cs="Times New Roman"/>
          <w:lang w:val="en-GB"/>
        </w:rPr>
        <w:t xml:space="preserve"> other EU legal acts are at various levels of partly transposed status.</w:t>
      </w:r>
    </w:p>
    <w:p w:rsidR="00B718BB" w:rsidRPr="006314C9" w:rsidRDefault="00B718BB" w:rsidP="00152F5E">
      <w:pPr>
        <w:rPr>
          <w:rFonts w:cs="Times New Roman"/>
          <w:lang w:val="en-GB"/>
        </w:rPr>
      </w:pPr>
      <w:r w:rsidRPr="006314C9">
        <w:rPr>
          <w:rFonts w:cs="Times New Roman"/>
          <w:lang w:val="en-GB"/>
        </w:rPr>
        <w:t xml:space="preserve">The </w:t>
      </w:r>
      <w:r w:rsidRPr="006314C9">
        <w:rPr>
          <w:rFonts w:cs="Times New Roman"/>
          <w:b/>
          <w:lang w:val="en-GB"/>
        </w:rPr>
        <w:t>Noise</w:t>
      </w:r>
      <w:r w:rsidRPr="006314C9">
        <w:rPr>
          <w:rFonts w:cs="Times New Roman"/>
          <w:lang w:val="en-GB"/>
        </w:rPr>
        <w:t xml:space="preserve"> sub-chapter is at an advanced level of transposition (86 %). This score reflects the level of transposition of the only directive present in this sub-chapter.</w:t>
      </w:r>
    </w:p>
    <w:p w:rsidR="00B718BB" w:rsidRPr="006314C9" w:rsidRDefault="00B718BB" w:rsidP="00152F5E">
      <w:pPr>
        <w:rPr>
          <w:rFonts w:cs="Times New Roman"/>
          <w:lang w:val="en-GB"/>
        </w:rPr>
      </w:pPr>
      <w:r w:rsidRPr="006314C9">
        <w:rPr>
          <w:rFonts w:cs="Times New Roman"/>
          <w:lang w:val="en-GB"/>
        </w:rPr>
        <w:t xml:space="preserve">The </w:t>
      </w:r>
      <w:r w:rsidRPr="006314C9">
        <w:rPr>
          <w:rFonts w:cs="Times New Roman"/>
          <w:b/>
          <w:lang w:val="en-GB"/>
        </w:rPr>
        <w:t>Climate Change</w:t>
      </w:r>
      <w:r w:rsidRPr="006314C9">
        <w:rPr>
          <w:rFonts w:cs="Times New Roman"/>
          <w:lang w:val="en-GB"/>
        </w:rPr>
        <w:t xml:space="preserve"> sub-chapter is at an initial level of transposition (</w:t>
      </w:r>
      <w:r w:rsidR="00FF25EA" w:rsidRPr="006314C9">
        <w:rPr>
          <w:rFonts w:cs="Times New Roman"/>
          <w:lang w:val="en-GB"/>
        </w:rPr>
        <w:t>12.2</w:t>
      </w:r>
      <w:r w:rsidRPr="006314C9">
        <w:rPr>
          <w:rFonts w:cs="Times New Roman"/>
          <w:lang w:val="en-GB"/>
        </w:rPr>
        <w:t xml:space="preserve"> %). Only one </w:t>
      </w:r>
      <w:r w:rsidR="00281D01" w:rsidRPr="006314C9">
        <w:rPr>
          <w:rFonts w:cs="Times New Roman"/>
          <w:lang w:val="en-GB"/>
        </w:rPr>
        <w:t xml:space="preserve">regulation </w:t>
      </w:r>
      <w:r w:rsidRPr="006314C9">
        <w:rPr>
          <w:rFonts w:cs="Times New Roman"/>
          <w:lang w:val="en-GB"/>
        </w:rPr>
        <w:t xml:space="preserve">is at an advanced stage of transposition, while there </w:t>
      </w:r>
      <w:proofErr w:type="spellStart"/>
      <w:r w:rsidR="00CA0CD1" w:rsidRPr="006314C9">
        <w:rPr>
          <w:rFonts w:cs="Times New Roman"/>
          <w:lang w:val="en-GB"/>
        </w:rPr>
        <w:t>is</w:t>
      </w:r>
      <w:r w:rsidRPr="006314C9">
        <w:rPr>
          <w:rFonts w:cs="Times New Roman"/>
          <w:lang w:val="en-GB"/>
        </w:rPr>
        <w:t>one</w:t>
      </w:r>
      <w:proofErr w:type="spellEnd"/>
      <w:r w:rsidRPr="006314C9">
        <w:rPr>
          <w:rFonts w:cs="Times New Roman"/>
          <w:lang w:val="en-GB"/>
        </w:rPr>
        <w:t xml:space="preserve"> </w:t>
      </w:r>
      <w:r w:rsidR="00281D01" w:rsidRPr="006314C9">
        <w:rPr>
          <w:rFonts w:cs="Times New Roman"/>
          <w:lang w:val="en-GB"/>
        </w:rPr>
        <w:t xml:space="preserve">decision </w:t>
      </w:r>
      <w:r w:rsidRPr="006314C9">
        <w:rPr>
          <w:rFonts w:cs="Times New Roman"/>
          <w:lang w:val="en-GB"/>
        </w:rPr>
        <w:t xml:space="preserve">and one </w:t>
      </w:r>
      <w:r w:rsidR="00281D01" w:rsidRPr="006314C9">
        <w:rPr>
          <w:rFonts w:cs="Times New Roman"/>
          <w:lang w:val="en-GB"/>
        </w:rPr>
        <w:t xml:space="preserve">regulation </w:t>
      </w:r>
      <w:r w:rsidRPr="006314C9">
        <w:rPr>
          <w:rFonts w:cs="Times New Roman"/>
          <w:lang w:val="en-GB"/>
        </w:rPr>
        <w:t xml:space="preserve">whose transposition is started but is pending on the approval of the Law on Climate Change and a related Decision of the </w:t>
      </w:r>
      <w:r w:rsidR="00CA0CD1" w:rsidRPr="006314C9">
        <w:rPr>
          <w:rFonts w:cs="Times New Roman"/>
          <w:lang w:val="en-GB"/>
        </w:rPr>
        <w:t xml:space="preserve">Council </w:t>
      </w:r>
      <w:r w:rsidRPr="006314C9">
        <w:rPr>
          <w:rFonts w:cs="Times New Roman"/>
          <w:lang w:val="en-GB"/>
        </w:rPr>
        <w:t xml:space="preserve">of </w:t>
      </w:r>
      <w:r w:rsidR="00CA0CD1" w:rsidRPr="006314C9">
        <w:rPr>
          <w:rFonts w:cs="Times New Roman"/>
          <w:lang w:val="en-GB"/>
        </w:rPr>
        <w:t>M</w:t>
      </w:r>
      <w:r w:rsidRPr="006314C9">
        <w:rPr>
          <w:rFonts w:cs="Times New Roman"/>
          <w:lang w:val="en-GB"/>
        </w:rPr>
        <w:t xml:space="preserve">inisters. This is the only sub-chapter where </w:t>
      </w:r>
      <w:r w:rsidR="00B164FC" w:rsidRPr="006314C9">
        <w:rPr>
          <w:rFonts w:cs="Times New Roman"/>
          <w:lang w:val="en-GB"/>
        </w:rPr>
        <w:t xml:space="preserve">for </w:t>
      </w:r>
      <w:r w:rsidRPr="006314C9">
        <w:rPr>
          <w:rFonts w:cs="Times New Roman"/>
          <w:lang w:val="en-GB"/>
        </w:rPr>
        <w:t xml:space="preserve">most of the legal acts (7 out of 11) </w:t>
      </w:r>
      <w:r w:rsidR="00B164FC" w:rsidRPr="006314C9">
        <w:rPr>
          <w:rFonts w:cs="Times New Roman"/>
          <w:lang w:val="en-GB"/>
        </w:rPr>
        <w:t>transposition has not started yet</w:t>
      </w:r>
      <w:r w:rsidRPr="006314C9">
        <w:rPr>
          <w:rFonts w:cs="Times New Roman"/>
          <w:lang w:val="en-GB"/>
        </w:rPr>
        <w:t>.</w:t>
      </w:r>
    </w:p>
    <w:p w:rsidR="00850DC5" w:rsidRPr="006314C9" w:rsidRDefault="00850DC5" w:rsidP="00152F5E">
      <w:pPr>
        <w:rPr>
          <w:rFonts w:cs="Times New Roman"/>
          <w:lang w:val="en-GB"/>
        </w:rPr>
      </w:pPr>
    </w:p>
    <w:p w:rsidR="00B718BB" w:rsidRPr="006314C9" w:rsidRDefault="00B718BB" w:rsidP="00152F5E">
      <w:pPr>
        <w:rPr>
          <w:rFonts w:cs="Times New Roman"/>
          <w:i/>
          <w:lang w:val="en-GB"/>
        </w:rPr>
      </w:pPr>
      <w:r w:rsidRPr="006314C9">
        <w:rPr>
          <w:rFonts w:cs="Times New Roman"/>
          <w:b/>
          <w:i/>
          <w:lang w:val="en-GB"/>
        </w:rPr>
        <w:t>Implementation</w:t>
      </w:r>
    </w:p>
    <w:p w:rsidR="00B718BB" w:rsidRPr="006314C9" w:rsidRDefault="00E7136C" w:rsidP="00152F5E">
      <w:pPr>
        <w:rPr>
          <w:rFonts w:cs="Times New Roman"/>
          <w:lang w:val="en-GB"/>
        </w:rPr>
      </w:pPr>
      <w:r w:rsidRPr="006314C9">
        <w:rPr>
          <w:rFonts w:cs="Times New Roman"/>
          <w:lang w:val="en-GB"/>
        </w:rPr>
        <w:t>A</w:t>
      </w:r>
      <w:r w:rsidR="00B718BB" w:rsidRPr="006314C9">
        <w:rPr>
          <w:rFonts w:cs="Times New Roman"/>
          <w:lang w:val="en-GB"/>
        </w:rPr>
        <w:t xml:space="preserve">nalysis of </w:t>
      </w:r>
      <w:r w:rsidRPr="006314C9">
        <w:rPr>
          <w:rFonts w:cs="Times New Roman"/>
          <w:lang w:val="en-GB"/>
        </w:rPr>
        <w:t xml:space="preserve">implementation of </w:t>
      </w:r>
      <w:r w:rsidR="00B718BB" w:rsidRPr="006314C9">
        <w:rPr>
          <w:rFonts w:cs="Times New Roman"/>
          <w:lang w:val="en-GB"/>
        </w:rPr>
        <w:t xml:space="preserve">Chapter 27 </w:t>
      </w:r>
      <w:r w:rsidRPr="006314C9">
        <w:rPr>
          <w:rFonts w:cs="Times New Roman"/>
          <w:lang w:val="en-GB"/>
        </w:rPr>
        <w:t xml:space="preserve">requirements </w:t>
      </w:r>
      <w:r w:rsidR="00B718BB" w:rsidRPr="006314C9">
        <w:rPr>
          <w:rFonts w:cs="Times New Roman"/>
          <w:lang w:val="en-GB"/>
        </w:rPr>
        <w:t xml:space="preserve">is more difficult to quantify but on the overall scale the level of implementation is low. There are only 4 </w:t>
      </w:r>
      <w:r w:rsidR="00FB21BE" w:rsidRPr="006314C9">
        <w:rPr>
          <w:rFonts w:cs="Times New Roman"/>
          <w:lang w:val="en-GB"/>
        </w:rPr>
        <w:t xml:space="preserve">directives </w:t>
      </w:r>
      <w:r w:rsidR="00B718BB" w:rsidRPr="006314C9">
        <w:rPr>
          <w:rFonts w:cs="Times New Roman"/>
          <w:lang w:val="en-GB"/>
        </w:rPr>
        <w:t xml:space="preserve">in the Horizontal Legislation, 1 </w:t>
      </w:r>
      <w:r w:rsidR="00FB21BE" w:rsidRPr="006314C9">
        <w:rPr>
          <w:rFonts w:cs="Times New Roman"/>
          <w:lang w:val="en-GB"/>
        </w:rPr>
        <w:t xml:space="preserve">directive </w:t>
      </w:r>
      <w:r w:rsidR="00B718BB" w:rsidRPr="006314C9">
        <w:rPr>
          <w:rFonts w:cs="Times New Roman"/>
          <w:lang w:val="en-GB"/>
        </w:rPr>
        <w:t xml:space="preserve">in the Industrial Pollution Control and 1 in the Chemicals subchapter that are reported as in an advanced stage of implementation, while the majority are partly implemented or are in the initial phase of implementation and some have not started yet. Some of these legal acts have a low level of implementation also due to the low level of transposition into the Albanian legislation that is </w:t>
      </w:r>
      <w:r w:rsidR="00216726" w:rsidRPr="006314C9">
        <w:rPr>
          <w:rFonts w:cs="Times New Roman"/>
          <w:lang w:val="en-GB"/>
        </w:rPr>
        <w:t xml:space="preserve">the </w:t>
      </w:r>
      <w:proofErr w:type="spellStart"/>
      <w:r w:rsidR="00216726" w:rsidRPr="006314C9">
        <w:rPr>
          <w:rFonts w:cs="Times New Roman"/>
          <w:lang w:val="en-GB"/>
        </w:rPr>
        <w:t>necessary</w:t>
      </w:r>
      <w:r w:rsidR="00B718BB" w:rsidRPr="006314C9">
        <w:rPr>
          <w:rFonts w:cs="Times New Roman"/>
          <w:lang w:val="en-GB"/>
        </w:rPr>
        <w:t>step</w:t>
      </w:r>
      <w:proofErr w:type="spellEnd"/>
      <w:r w:rsidR="00B718BB" w:rsidRPr="006314C9">
        <w:rPr>
          <w:rFonts w:cs="Times New Roman"/>
          <w:lang w:val="en-GB"/>
        </w:rPr>
        <w:t xml:space="preserve"> prior to the implementation.</w:t>
      </w:r>
    </w:p>
    <w:p w:rsidR="00B718BB" w:rsidRPr="006314C9" w:rsidRDefault="00B718BB" w:rsidP="00152F5E">
      <w:pPr>
        <w:rPr>
          <w:rFonts w:cs="Times New Roman"/>
          <w:lang w:val="en-GB"/>
        </w:rPr>
      </w:pPr>
      <w:r w:rsidRPr="006314C9">
        <w:rPr>
          <w:rFonts w:cs="Times New Roman"/>
          <w:lang w:val="en-GB"/>
        </w:rPr>
        <w:t xml:space="preserve">On average, the </w:t>
      </w:r>
      <w:r w:rsidRPr="006314C9">
        <w:rPr>
          <w:rFonts w:cs="Times New Roman"/>
          <w:b/>
          <w:lang w:val="en-GB"/>
        </w:rPr>
        <w:t>Horizontal Legislation</w:t>
      </w:r>
      <w:r w:rsidRPr="006314C9">
        <w:rPr>
          <w:rFonts w:cs="Times New Roman"/>
          <w:lang w:val="en-GB"/>
        </w:rPr>
        <w:t xml:space="preserve"> is at a medium level of implementation where four directives are being implemented at an advanced level, one recommendation and one </w:t>
      </w:r>
      <w:r w:rsidR="00FB21BE" w:rsidRPr="006314C9">
        <w:rPr>
          <w:rFonts w:cs="Times New Roman"/>
          <w:lang w:val="en-GB"/>
        </w:rPr>
        <w:t xml:space="preserve">directive </w:t>
      </w:r>
      <w:r w:rsidRPr="006314C9">
        <w:rPr>
          <w:rFonts w:cs="Times New Roman"/>
          <w:lang w:val="en-GB"/>
        </w:rPr>
        <w:t xml:space="preserve">are partly implemented, and </w:t>
      </w:r>
      <w:r w:rsidR="00FB21BE" w:rsidRPr="006314C9">
        <w:rPr>
          <w:rFonts w:cs="Times New Roman"/>
          <w:lang w:val="en-GB"/>
        </w:rPr>
        <w:t xml:space="preserve">implementation of </w:t>
      </w:r>
      <w:r w:rsidRPr="006314C9">
        <w:rPr>
          <w:rFonts w:cs="Times New Roman"/>
          <w:lang w:val="en-GB"/>
        </w:rPr>
        <w:t xml:space="preserve">two </w:t>
      </w:r>
      <w:r w:rsidR="00FB21BE" w:rsidRPr="006314C9">
        <w:rPr>
          <w:rFonts w:cs="Times New Roman"/>
          <w:lang w:val="en-GB"/>
        </w:rPr>
        <w:t xml:space="preserve">directives </w:t>
      </w:r>
      <w:r w:rsidRPr="006314C9">
        <w:rPr>
          <w:rFonts w:cs="Times New Roman"/>
          <w:lang w:val="en-GB"/>
        </w:rPr>
        <w:t xml:space="preserve">has not yet started. Only two </w:t>
      </w:r>
      <w:r w:rsidR="00FB21BE" w:rsidRPr="006314C9">
        <w:rPr>
          <w:rFonts w:cs="Times New Roman"/>
          <w:lang w:val="en-GB"/>
        </w:rPr>
        <w:t xml:space="preserve">directives </w:t>
      </w:r>
      <w:r w:rsidRPr="006314C9">
        <w:rPr>
          <w:rFonts w:cs="Times New Roman"/>
          <w:lang w:val="en-GB"/>
        </w:rPr>
        <w:t>ha</w:t>
      </w:r>
      <w:r w:rsidR="00FB21BE" w:rsidRPr="006314C9">
        <w:rPr>
          <w:rFonts w:cs="Times New Roman"/>
          <w:lang w:val="en-GB"/>
        </w:rPr>
        <w:t xml:space="preserve">ve </w:t>
      </w:r>
      <w:r w:rsidRPr="006314C9">
        <w:rPr>
          <w:rFonts w:cs="Times New Roman"/>
          <w:lang w:val="en-GB"/>
        </w:rPr>
        <w:t>Implementation Plans</w:t>
      </w:r>
      <w:r w:rsidR="00F94BFC" w:rsidRPr="006314C9">
        <w:rPr>
          <w:rFonts w:cs="Times New Roman"/>
          <w:lang w:val="en-GB"/>
        </w:rPr>
        <w:t xml:space="preserve"> prepared</w:t>
      </w:r>
      <w:r w:rsidRPr="006314C9">
        <w:rPr>
          <w:rFonts w:cs="Times New Roman"/>
          <w:lang w:val="en-GB"/>
        </w:rPr>
        <w:t>.</w:t>
      </w:r>
    </w:p>
    <w:p w:rsidR="00B718BB" w:rsidRPr="006314C9" w:rsidRDefault="00B718BB" w:rsidP="00152F5E">
      <w:pPr>
        <w:rPr>
          <w:rFonts w:cs="Times New Roman"/>
          <w:lang w:val="en-GB"/>
        </w:rPr>
      </w:pPr>
      <w:r w:rsidRPr="006314C9">
        <w:rPr>
          <w:rFonts w:cs="Times New Roman"/>
          <w:lang w:val="en-GB"/>
        </w:rPr>
        <w:t xml:space="preserve">All 5 </w:t>
      </w:r>
      <w:r w:rsidR="00FB21BE" w:rsidRPr="006314C9">
        <w:rPr>
          <w:rFonts w:cs="Times New Roman"/>
          <w:lang w:val="en-GB"/>
        </w:rPr>
        <w:t xml:space="preserve">directives </w:t>
      </w:r>
      <w:r w:rsidRPr="006314C9">
        <w:rPr>
          <w:rFonts w:cs="Times New Roman"/>
          <w:lang w:val="en-GB"/>
        </w:rPr>
        <w:t xml:space="preserve">in the </w:t>
      </w:r>
      <w:r w:rsidRPr="006314C9">
        <w:rPr>
          <w:rFonts w:cs="Times New Roman"/>
          <w:b/>
          <w:lang w:val="en-GB"/>
        </w:rPr>
        <w:t xml:space="preserve">Air Quality </w:t>
      </w:r>
      <w:r w:rsidRPr="006314C9">
        <w:rPr>
          <w:rFonts w:cs="Times New Roman"/>
          <w:lang w:val="en-GB"/>
        </w:rPr>
        <w:t>are at the initial stage of implementation. Two of them are at initial stage due to the low level of transposition.</w:t>
      </w:r>
    </w:p>
    <w:p w:rsidR="00806914" w:rsidRPr="006314C9" w:rsidRDefault="00B718BB" w:rsidP="00152F5E">
      <w:pPr>
        <w:rPr>
          <w:rFonts w:cs="Times New Roman"/>
          <w:lang w:val="en-GB"/>
        </w:rPr>
      </w:pPr>
      <w:r w:rsidRPr="006314C9">
        <w:rPr>
          <w:rFonts w:cs="Times New Roman"/>
          <w:lang w:val="en-GB"/>
        </w:rPr>
        <w:t xml:space="preserve">All Directives under the subchapter of </w:t>
      </w:r>
      <w:r w:rsidRPr="006314C9">
        <w:rPr>
          <w:rFonts w:cs="Times New Roman"/>
          <w:b/>
          <w:lang w:val="en-GB"/>
        </w:rPr>
        <w:t xml:space="preserve">Water Quality </w:t>
      </w:r>
      <w:r w:rsidRPr="006314C9">
        <w:rPr>
          <w:rFonts w:cs="Times New Roman"/>
          <w:lang w:val="en-GB"/>
        </w:rPr>
        <w:t xml:space="preserve">have been implemented at different levels. There are four directives that are partially implemented, </w:t>
      </w:r>
      <w:r w:rsidR="00F94BFC" w:rsidRPr="006314C9">
        <w:rPr>
          <w:rFonts w:cs="Times New Roman"/>
          <w:lang w:val="en-GB"/>
        </w:rPr>
        <w:t>4</w:t>
      </w:r>
      <w:r w:rsidR="00B449B4" w:rsidRPr="006314C9">
        <w:rPr>
          <w:rFonts w:cs="Times New Roman"/>
          <w:lang w:val="en-GB"/>
        </w:rPr>
        <w:t xml:space="preserve"> directives in the initial stage of implementation</w:t>
      </w:r>
      <w:r w:rsidR="00F94BFC" w:rsidRPr="006314C9">
        <w:rPr>
          <w:rFonts w:cs="Times New Roman"/>
          <w:lang w:val="en-GB"/>
        </w:rPr>
        <w:t xml:space="preserve"> and 2 directives are not implemented at all</w:t>
      </w:r>
      <w:r w:rsidR="00B449B4" w:rsidRPr="006314C9">
        <w:rPr>
          <w:rFonts w:cs="Times New Roman"/>
          <w:lang w:val="en-GB"/>
        </w:rPr>
        <w:t xml:space="preserve">. </w:t>
      </w:r>
      <w:r w:rsidR="00D82DD3" w:rsidRPr="006314C9">
        <w:rPr>
          <w:rFonts w:cs="Times New Roman"/>
          <w:lang w:val="en-GB"/>
        </w:rPr>
        <w:t xml:space="preserve">Implementation of the heavy investment directives, such as </w:t>
      </w:r>
      <w:r w:rsidR="00B95D6A" w:rsidRPr="006314C9">
        <w:rPr>
          <w:rFonts w:cs="Times New Roman"/>
          <w:i/>
          <w:lang w:val="en-GB"/>
        </w:rPr>
        <w:t>UWWT 91/271/EEC</w:t>
      </w:r>
      <w:r w:rsidR="00D82DD3" w:rsidRPr="006314C9">
        <w:rPr>
          <w:rFonts w:cs="Times New Roman"/>
          <w:lang w:val="en-GB"/>
        </w:rPr>
        <w:t xml:space="preserve"> and </w:t>
      </w:r>
      <w:r w:rsidR="00B95D6A" w:rsidRPr="006314C9">
        <w:rPr>
          <w:rFonts w:cs="Times New Roman"/>
          <w:i/>
          <w:lang w:val="en-GB"/>
        </w:rPr>
        <w:t>Drinking water 98/83/EC</w:t>
      </w:r>
      <w:r w:rsidR="001D6D5A" w:rsidRPr="006314C9">
        <w:rPr>
          <w:rFonts w:cs="Times New Roman"/>
          <w:lang w:val="en-GB"/>
        </w:rPr>
        <w:t xml:space="preserve"> directives, will mo</w:t>
      </w:r>
      <w:r w:rsidR="00D82DD3" w:rsidRPr="006314C9">
        <w:rPr>
          <w:rFonts w:cs="Times New Roman"/>
          <w:lang w:val="en-GB"/>
        </w:rPr>
        <w:t>st likely require transitional periods thus preparation of Directive Specific Implementation Plans (DSIP) is needed.</w:t>
      </w:r>
    </w:p>
    <w:p w:rsidR="00B718BB" w:rsidRPr="006314C9" w:rsidRDefault="00B718BB" w:rsidP="00152F5E">
      <w:pPr>
        <w:rPr>
          <w:rFonts w:cs="Times New Roman"/>
          <w:lang w:val="en-GB"/>
        </w:rPr>
      </w:pPr>
      <w:r w:rsidRPr="006314C9">
        <w:rPr>
          <w:rFonts w:cs="Times New Roman"/>
          <w:lang w:val="en-GB"/>
        </w:rPr>
        <w:t xml:space="preserve">From 13 </w:t>
      </w:r>
      <w:r w:rsidR="00FB21BE" w:rsidRPr="006314C9">
        <w:rPr>
          <w:rFonts w:cs="Times New Roman"/>
          <w:lang w:val="en-GB"/>
        </w:rPr>
        <w:t xml:space="preserve">directives </w:t>
      </w:r>
      <w:r w:rsidRPr="006314C9">
        <w:rPr>
          <w:rFonts w:cs="Times New Roman"/>
          <w:lang w:val="en-GB"/>
        </w:rPr>
        <w:t xml:space="preserve">and </w:t>
      </w:r>
      <w:r w:rsidR="00FB21BE" w:rsidRPr="006314C9">
        <w:rPr>
          <w:rFonts w:cs="Times New Roman"/>
          <w:lang w:val="en-GB"/>
        </w:rPr>
        <w:t xml:space="preserve">regulations </w:t>
      </w:r>
      <w:r w:rsidRPr="006314C9">
        <w:rPr>
          <w:rFonts w:cs="Times New Roman"/>
          <w:lang w:val="en-GB"/>
        </w:rPr>
        <w:t xml:space="preserve">of the </w:t>
      </w:r>
      <w:proofErr w:type="spellStart"/>
      <w:r w:rsidRPr="006314C9">
        <w:rPr>
          <w:rFonts w:cs="Times New Roman"/>
          <w:b/>
          <w:lang w:val="en-GB"/>
        </w:rPr>
        <w:t>Waste</w:t>
      </w:r>
      <w:r w:rsidR="00FB21BE" w:rsidRPr="006314C9">
        <w:rPr>
          <w:rFonts w:cs="Times New Roman"/>
          <w:lang w:val="en-GB"/>
        </w:rPr>
        <w:t>Management</w:t>
      </w:r>
      <w:proofErr w:type="spellEnd"/>
      <w:r w:rsidR="00FB21BE" w:rsidRPr="006314C9">
        <w:rPr>
          <w:rFonts w:cs="Times New Roman"/>
          <w:lang w:val="en-GB"/>
        </w:rPr>
        <w:t xml:space="preserve"> </w:t>
      </w:r>
      <w:r w:rsidRPr="006314C9">
        <w:rPr>
          <w:rFonts w:cs="Times New Roman"/>
          <w:lang w:val="en-GB"/>
        </w:rPr>
        <w:t xml:space="preserve">subchapter, 8 </w:t>
      </w:r>
      <w:r w:rsidR="00FB21BE" w:rsidRPr="006314C9">
        <w:rPr>
          <w:rFonts w:cs="Times New Roman"/>
          <w:lang w:val="en-GB"/>
        </w:rPr>
        <w:t xml:space="preserve">directives </w:t>
      </w:r>
      <w:r w:rsidRPr="006314C9">
        <w:rPr>
          <w:rFonts w:cs="Times New Roman"/>
          <w:lang w:val="en-GB"/>
        </w:rPr>
        <w:t xml:space="preserve">are at the initial </w:t>
      </w:r>
      <w:r w:rsidR="00D82DD3" w:rsidRPr="006314C9">
        <w:rPr>
          <w:rFonts w:cs="Times New Roman"/>
          <w:lang w:val="en-GB"/>
        </w:rPr>
        <w:t xml:space="preserve">stage </w:t>
      </w:r>
      <w:r w:rsidRPr="006314C9">
        <w:rPr>
          <w:rFonts w:cs="Times New Roman"/>
          <w:lang w:val="en-GB"/>
        </w:rPr>
        <w:t xml:space="preserve">of implementation while </w:t>
      </w:r>
      <w:r w:rsidR="00FB21BE" w:rsidRPr="006314C9">
        <w:rPr>
          <w:rFonts w:cs="Times New Roman"/>
          <w:lang w:val="en-GB"/>
        </w:rPr>
        <w:t xml:space="preserve">implementation of </w:t>
      </w:r>
      <w:r w:rsidRPr="006314C9">
        <w:rPr>
          <w:rFonts w:cs="Times New Roman"/>
          <w:lang w:val="en-GB"/>
        </w:rPr>
        <w:t>5 of them ha</w:t>
      </w:r>
      <w:r w:rsidR="00FB21BE" w:rsidRPr="006314C9">
        <w:rPr>
          <w:rFonts w:cs="Times New Roman"/>
          <w:lang w:val="en-GB"/>
        </w:rPr>
        <w:t xml:space="preserve">s </w:t>
      </w:r>
      <w:r w:rsidRPr="006314C9">
        <w:rPr>
          <w:rFonts w:cs="Times New Roman"/>
          <w:lang w:val="en-GB"/>
        </w:rPr>
        <w:t xml:space="preserve">not </w:t>
      </w:r>
      <w:r w:rsidR="00FB21BE" w:rsidRPr="006314C9">
        <w:rPr>
          <w:rFonts w:cs="Times New Roman"/>
          <w:lang w:val="en-GB"/>
        </w:rPr>
        <w:t xml:space="preserve">yet </w:t>
      </w:r>
      <w:r w:rsidRPr="006314C9">
        <w:rPr>
          <w:rFonts w:cs="Times New Roman"/>
          <w:lang w:val="en-GB"/>
        </w:rPr>
        <w:t>start</w:t>
      </w:r>
      <w:r w:rsidR="00FB21BE" w:rsidRPr="006314C9">
        <w:rPr>
          <w:rFonts w:cs="Times New Roman"/>
          <w:lang w:val="en-GB"/>
        </w:rPr>
        <w:t xml:space="preserve">ed. </w:t>
      </w:r>
      <w:r w:rsidR="001D6D5A" w:rsidRPr="006314C9">
        <w:rPr>
          <w:rFonts w:cs="Times New Roman"/>
          <w:lang w:val="en-GB"/>
        </w:rPr>
        <w:t xml:space="preserve">Adoption of the </w:t>
      </w:r>
      <w:r w:rsidR="00B95D6A" w:rsidRPr="006314C9">
        <w:rPr>
          <w:rFonts w:cs="Times New Roman"/>
          <w:lang w:val="en-GB"/>
        </w:rPr>
        <w:t>Strategy for Waste Management</w:t>
      </w:r>
      <w:r w:rsidR="001D6D5A" w:rsidRPr="006314C9">
        <w:rPr>
          <w:rFonts w:cs="Times New Roman"/>
          <w:lang w:val="en-GB"/>
        </w:rPr>
        <w:t xml:space="preserve"> and completing the waste planning is essential for guiding the implementation in this subchapter. Considering the challenges that country is faced with implementation of the waste legislation, it is assessed that at least for 5 directives (</w:t>
      </w:r>
      <w:r w:rsidR="00B95D6A" w:rsidRPr="006314C9">
        <w:rPr>
          <w:rFonts w:cs="Times New Roman"/>
          <w:i/>
          <w:lang w:val="en-GB"/>
        </w:rPr>
        <w:t xml:space="preserve">Waste Framework Directive, </w:t>
      </w:r>
      <w:r w:rsidR="00FF25EA" w:rsidRPr="006314C9">
        <w:rPr>
          <w:rFonts w:cs="Times New Roman"/>
          <w:i/>
          <w:lang w:val="en-GB"/>
        </w:rPr>
        <w:t>Landfill</w:t>
      </w:r>
      <w:r w:rsidR="00B95D6A" w:rsidRPr="006314C9">
        <w:rPr>
          <w:rFonts w:cs="Times New Roman"/>
          <w:i/>
          <w:lang w:val="en-GB"/>
        </w:rPr>
        <w:t>, Packaging, WEEE and Waste Batteries and Accumulators directives</w:t>
      </w:r>
      <w:r w:rsidR="001D6D5A" w:rsidRPr="006314C9">
        <w:rPr>
          <w:rFonts w:cs="Times New Roman"/>
          <w:lang w:val="en-GB"/>
        </w:rPr>
        <w:t xml:space="preserve">) transitional periods and preparation of DSIPs will be needed. </w:t>
      </w:r>
    </w:p>
    <w:p w:rsidR="00B718BB" w:rsidRPr="006314C9" w:rsidRDefault="00B718BB" w:rsidP="00152F5E">
      <w:pPr>
        <w:rPr>
          <w:rFonts w:cs="Times New Roman"/>
          <w:lang w:val="en-GB"/>
        </w:rPr>
      </w:pPr>
      <w:r w:rsidRPr="006314C9">
        <w:rPr>
          <w:rFonts w:cs="Times New Roman"/>
          <w:lang w:val="en-GB"/>
        </w:rPr>
        <w:lastRenderedPageBreak/>
        <w:t xml:space="preserve">For </w:t>
      </w:r>
      <w:r w:rsidR="005A1AA8" w:rsidRPr="006314C9">
        <w:rPr>
          <w:rFonts w:cs="Times New Roman"/>
          <w:lang w:val="en-GB"/>
        </w:rPr>
        <w:t>few</w:t>
      </w:r>
      <w:r w:rsidRPr="006314C9">
        <w:rPr>
          <w:rFonts w:cs="Times New Roman"/>
          <w:lang w:val="en-GB"/>
        </w:rPr>
        <w:t xml:space="preserve"> directives/regulations under the </w:t>
      </w:r>
      <w:r w:rsidRPr="006314C9">
        <w:rPr>
          <w:rFonts w:cs="Times New Roman"/>
          <w:b/>
          <w:lang w:val="en-GB"/>
        </w:rPr>
        <w:t xml:space="preserve">Nature Protection </w:t>
      </w:r>
      <w:r w:rsidRPr="006314C9">
        <w:rPr>
          <w:rFonts w:cs="Times New Roman"/>
          <w:lang w:val="en-GB"/>
        </w:rPr>
        <w:t xml:space="preserve">sub-chapter, implementation is at an initial stage while for most the implementation has not started yet since the transposition has not started or is at initial stage. </w:t>
      </w:r>
    </w:p>
    <w:p w:rsidR="00B718BB" w:rsidRPr="006314C9" w:rsidRDefault="00B718BB" w:rsidP="00152F5E">
      <w:pPr>
        <w:rPr>
          <w:rFonts w:cs="Times New Roman"/>
          <w:lang w:val="en-GB"/>
        </w:rPr>
      </w:pPr>
      <w:r w:rsidRPr="006314C9">
        <w:rPr>
          <w:rFonts w:cs="Times New Roman"/>
          <w:lang w:val="en-GB"/>
        </w:rPr>
        <w:t xml:space="preserve">The level of implementation in the </w:t>
      </w:r>
      <w:r w:rsidRPr="006314C9">
        <w:rPr>
          <w:rFonts w:cs="Times New Roman"/>
          <w:b/>
          <w:lang w:val="en-GB"/>
        </w:rPr>
        <w:t xml:space="preserve">Industrial Pollution Control </w:t>
      </w:r>
      <w:r w:rsidRPr="006314C9">
        <w:rPr>
          <w:rFonts w:cs="Times New Roman"/>
          <w:lang w:val="en-GB"/>
        </w:rPr>
        <w:t xml:space="preserve">subchapter is uneven and it ranges from advanced stage of implementation of the </w:t>
      </w:r>
      <w:r w:rsidR="005A1AA8" w:rsidRPr="006314C9">
        <w:rPr>
          <w:rFonts w:cs="Times New Roman"/>
          <w:lang w:val="en-GB"/>
        </w:rPr>
        <w:t>IED d</w:t>
      </w:r>
      <w:r w:rsidRPr="006314C9">
        <w:rPr>
          <w:rFonts w:cs="Times New Roman"/>
          <w:lang w:val="en-GB"/>
        </w:rPr>
        <w:t xml:space="preserve">irective to not </w:t>
      </w:r>
      <w:proofErr w:type="gramStart"/>
      <w:r w:rsidR="00FF25EA" w:rsidRPr="006314C9">
        <w:rPr>
          <w:rFonts w:cs="Times New Roman"/>
          <w:lang w:val="en-GB"/>
        </w:rPr>
        <w:t>implemented</w:t>
      </w:r>
      <w:proofErr w:type="gramEnd"/>
      <w:r w:rsidRPr="006314C9">
        <w:rPr>
          <w:rFonts w:cs="Times New Roman"/>
          <w:lang w:val="en-GB"/>
        </w:rPr>
        <w:t xml:space="preserve"> for one </w:t>
      </w:r>
      <w:r w:rsidR="005A1AA8" w:rsidRPr="006314C9">
        <w:rPr>
          <w:rFonts w:cs="Times New Roman"/>
          <w:lang w:val="en-GB"/>
        </w:rPr>
        <w:t xml:space="preserve">directive </w:t>
      </w:r>
      <w:r w:rsidRPr="006314C9">
        <w:rPr>
          <w:rFonts w:cs="Times New Roman"/>
          <w:lang w:val="en-GB"/>
        </w:rPr>
        <w:t xml:space="preserve">and one </w:t>
      </w:r>
      <w:r w:rsidR="005A1AA8" w:rsidRPr="006314C9">
        <w:rPr>
          <w:rFonts w:cs="Times New Roman"/>
          <w:lang w:val="en-GB"/>
        </w:rPr>
        <w:t>regulation</w:t>
      </w:r>
      <w:r w:rsidRPr="006314C9">
        <w:rPr>
          <w:rFonts w:cs="Times New Roman"/>
          <w:lang w:val="en-GB"/>
        </w:rPr>
        <w:t xml:space="preserve">. The </w:t>
      </w:r>
      <w:r w:rsidR="00E7136C" w:rsidRPr="006314C9">
        <w:rPr>
          <w:rFonts w:cs="Times New Roman"/>
          <w:lang w:val="en-GB"/>
        </w:rPr>
        <w:t>2</w:t>
      </w:r>
      <w:r w:rsidRPr="006314C9">
        <w:rPr>
          <w:rFonts w:cs="Times New Roman"/>
          <w:lang w:val="en-GB"/>
        </w:rPr>
        <w:t xml:space="preserve">other </w:t>
      </w:r>
      <w:r w:rsidR="005A1AA8" w:rsidRPr="006314C9">
        <w:rPr>
          <w:rFonts w:cs="Times New Roman"/>
          <w:lang w:val="en-GB"/>
        </w:rPr>
        <w:t xml:space="preserve">directives </w:t>
      </w:r>
      <w:r w:rsidRPr="006314C9">
        <w:rPr>
          <w:rFonts w:cs="Times New Roman"/>
          <w:lang w:val="en-GB"/>
        </w:rPr>
        <w:t xml:space="preserve">are in the initial stage of </w:t>
      </w:r>
      <w:proofErr w:type="spellStart"/>
      <w:r w:rsidRPr="006314C9">
        <w:rPr>
          <w:rFonts w:cs="Times New Roman"/>
          <w:lang w:val="en-GB"/>
        </w:rPr>
        <w:t>implementation.</w:t>
      </w:r>
      <w:r w:rsidR="00527C5D" w:rsidRPr="006314C9">
        <w:rPr>
          <w:rFonts w:cs="Times New Roman"/>
          <w:lang w:val="en-GB"/>
        </w:rPr>
        <w:t>Challenging</w:t>
      </w:r>
      <w:proofErr w:type="spellEnd"/>
      <w:r w:rsidR="001D6D5A" w:rsidRPr="006314C9">
        <w:rPr>
          <w:rFonts w:cs="Times New Roman"/>
          <w:lang w:val="en-GB"/>
        </w:rPr>
        <w:t xml:space="preserve"> in this subchapter are the Industry Emission Directive 2010/75/EC and Medium Combustion Plan</w:t>
      </w:r>
      <w:r w:rsidR="00FF25EA" w:rsidRPr="006314C9">
        <w:rPr>
          <w:rFonts w:cs="Times New Roman"/>
          <w:lang w:val="en-GB"/>
        </w:rPr>
        <w:t>t</w:t>
      </w:r>
      <w:r w:rsidR="001D6D5A" w:rsidRPr="006314C9">
        <w:rPr>
          <w:rFonts w:cs="Times New Roman"/>
          <w:lang w:val="en-GB"/>
        </w:rPr>
        <w:t xml:space="preserve"> 2015/2193/EU which makes them good candidate for transitional periods thus DSIPs will need to be prepared as to guide future implementation. </w:t>
      </w:r>
    </w:p>
    <w:p w:rsidR="00B718BB" w:rsidRPr="006314C9" w:rsidRDefault="00B718BB" w:rsidP="00152F5E">
      <w:pPr>
        <w:rPr>
          <w:rFonts w:cs="Times New Roman"/>
          <w:lang w:val="en-GB"/>
        </w:rPr>
      </w:pPr>
      <w:r w:rsidRPr="006314C9">
        <w:rPr>
          <w:rFonts w:cs="Times New Roman"/>
          <w:lang w:val="en-GB"/>
        </w:rPr>
        <w:t xml:space="preserve">The </w:t>
      </w:r>
      <w:r w:rsidRPr="006314C9">
        <w:rPr>
          <w:rFonts w:cs="Times New Roman"/>
          <w:b/>
          <w:lang w:val="en-GB"/>
        </w:rPr>
        <w:t xml:space="preserve">Chemicals </w:t>
      </w:r>
      <w:r w:rsidRPr="006314C9">
        <w:rPr>
          <w:rFonts w:cs="Times New Roman"/>
          <w:lang w:val="en-GB"/>
        </w:rPr>
        <w:t xml:space="preserve">subchapter has one </w:t>
      </w:r>
      <w:r w:rsidR="005A1AA8" w:rsidRPr="006314C9">
        <w:rPr>
          <w:rFonts w:cs="Times New Roman"/>
          <w:lang w:val="en-GB"/>
        </w:rPr>
        <w:t xml:space="preserve">directive </w:t>
      </w:r>
      <w:r w:rsidRPr="006314C9">
        <w:rPr>
          <w:rFonts w:cs="Times New Roman"/>
          <w:lang w:val="en-GB"/>
        </w:rPr>
        <w:t xml:space="preserve">that is implemented while all the others are at the initial stage of implementation </w:t>
      </w:r>
      <w:r w:rsidR="00527C5D" w:rsidRPr="006314C9">
        <w:rPr>
          <w:rFonts w:cs="Times New Roman"/>
          <w:lang w:val="en-GB"/>
        </w:rPr>
        <w:t>though</w:t>
      </w:r>
      <w:r w:rsidRPr="006314C9">
        <w:rPr>
          <w:rFonts w:cs="Times New Roman"/>
          <w:lang w:val="en-GB"/>
        </w:rPr>
        <w:t xml:space="preserve"> one directive is not implemented because the transposition has not started yet.</w:t>
      </w:r>
    </w:p>
    <w:p w:rsidR="00B718BB" w:rsidRPr="006314C9" w:rsidRDefault="00B718BB" w:rsidP="00152F5E">
      <w:pPr>
        <w:rPr>
          <w:rFonts w:cs="Times New Roman"/>
          <w:lang w:val="en-GB"/>
        </w:rPr>
      </w:pPr>
      <w:r w:rsidRPr="006314C9">
        <w:rPr>
          <w:rFonts w:cs="Times New Roman"/>
          <w:lang w:val="en-GB"/>
        </w:rPr>
        <w:t xml:space="preserve">There is only one Directive in the </w:t>
      </w:r>
      <w:r w:rsidRPr="006314C9">
        <w:rPr>
          <w:rFonts w:cs="Times New Roman"/>
          <w:b/>
          <w:lang w:val="en-GB"/>
        </w:rPr>
        <w:t xml:space="preserve">Noise </w:t>
      </w:r>
      <w:r w:rsidRPr="006314C9">
        <w:rPr>
          <w:rFonts w:cs="Times New Roman"/>
          <w:lang w:val="en-GB"/>
        </w:rPr>
        <w:t xml:space="preserve">subchapter and this </w:t>
      </w:r>
      <w:r w:rsidR="005A1AA8" w:rsidRPr="006314C9">
        <w:rPr>
          <w:rFonts w:cs="Times New Roman"/>
          <w:lang w:val="en-GB"/>
        </w:rPr>
        <w:t xml:space="preserve">directive </w:t>
      </w:r>
      <w:r w:rsidRPr="006314C9">
        <w:rPr>
          <w:rFonts w:cs="Times New Roman"/>
          <w:lang w:val="en-GB"/>
        </w:rPr>
        <w:t>is in the initial stage of implementation.</w:t>
      </w:r>
    </w:p>
    <w:p w:rsidR="00B718BB" w:rsidRPr="006314C9" w:rsidRDefault="00B718BB" w:rsidP="00152F5E">
      <w:pPr>
        <w:rPr>
          <w:rFonts w:cs="Times New Roman"/>
          <w:lang w:val="en-GB"/>
        </w:rPr>
      </w:pPr>
      <w:r w:rsidRPr="006314C9">
        <w:rPr>
          <w:rFonts w:cs="Times New Roman"/>
          <w:lang w:val="en-GB"/>
        </w:rPr>
        <w:t xml:space="preserve">Following </w:t>
      </w:r>
      <w:r w:rsidR="005A1AA8" w:rsidRPr="006314C9">
        <w:rPr>
          <w:rFonts w:cs="Times New Roman"/>
          <w:lang w:val="en-GB"/>
        </w:rPr>
        <w:t xml:space="preserve">low level of </w:t>
      </w:r>
      <w:r w:rsidRPr="006314C9">
        <w:rPr>
          <w:rFonts w:cs="Times New Roman"/>
          <w:lang w:val="en-GB"/>
        </w:rPr>
        <w:t xml:space="preserve">transposition, </w:t>
      </w:r>
      <w:r w:rsidR="005A1AA8" w:rsidRPr="006314C9">
        <w:rPr>
          <w:rFonts w:cs="Times New Roman"/>
          <w:lang w:val="en-GB"/>
        </w:rPr>
        <w:t xml:space="preserve">implementation of </w:t>
      </w:r>
      <w:r w:rsidR="00E7136C" w:rsidRPr="006314C9">
        <w:rPr>
          <w:rFonts w:cs="Times New Roman"/>
          <w:lang w:val="en-GB"/>
        </w:rPr>
        <w:t xml:space="preserve">most of </w:t>
      </w:r>
      <w:r w:rsidR="005A1AA8" w:rsidRPr="006314C9">
        <w:rPr>
          <w:rFonts w:cs="Times New Roman"/>
          <w:lang w:val="en-GB"/>
        </w:rPr>
        <w:t>directives</w:t>
      </w:r>
      <w:r w:rsidRPr="006314C9">
        <w:rPr>
          <w:rFonts w:cs="Times New Roman"/>
          <w:lang w:val="en-GB"/>
        </w:rPr>
        <w:t xml:space="preserve">, </w:t>
      </w:r>
      <w:r w:rsidR="005A1AA8" w:rsidRPr="006314C9">
        <w:rPr>
          <w:rFonts w:cs="Times New Roman"/>
          <w:lang w:val="en-GB"/>
        </w:rPr>
        <w:t xml:space="preserve">decisions </w:t>
      </w:r>
      <w:r w:rsidRPr="006314C9">
        <w:rPr>
          <w:rFonts w:cs="Times New Roman"/>
          <w:lang w:val="en-GB"/>
        </w:rPr>
        <w:t xml:space="preserve">and </w:t>
      </w:r>
      <w:r w:rsidR="005A1AA8" w:rsidRPr="006314C9">
        <w:rPr>
          <w:rFonts w:cs="Times New Roman"/>
          <w:lang w:val="en-GB"/>
        </w:rPr>
        <w:t xml:space="preserve">regulations </w:t>
      </w:r>
      <w:r w:rsidRPr="006314C9">
        <w:rPr>
          <w:rFonts w:cs="Times New Roman"/>
          <w:lang w:val="en-GB"/>
        </w:rPr>
        <w:t xml:space="preserve">in the </w:t>
      </w:r>
      <w:r w:rsidRPr="006314C9">
        <w:rPr>
          <w:rFonts w:cs="Times New Roman"/>
          <w:b/>
          <w:lang w:val="en-GB"/>
        </w:rPr>
        <w:t xml:space="preserve">Climate Change </w:t>
      </w:r>
      <w:r w:rsidRPr="006314C9">
        <w:rPr>
          <w:rFonts w:cs="Times New Roman"/>
          <w:lang w:val="en-GB"/>
        </w:rPr>
        <w:t xml:space="preserve">subchapter </w:t>
      </w:r>
      <w:r w:rsidR="005A1AA8" w:rsidRPr="006314C9">
        <w:rPr>
          <w:rFonts w:cs="Times New Roman"/>
          <w:lang w:val="en-GB"/>
        </w:rPr>
        <w:t xml:space="preserve">has not started yet, while </w:t>
      </w:r>
      <w:r w:rsidRPr="006314C9">
        <w:rPr>
          <w:rFonts w:cs="Times New Roman"/>
          <w:lang w:val="en-GB"/>
        </w:rPr>
        <w:t xml:space="preserve">only 2 regulations and 1 </w:t>
      </w:r>
      <w:r w:rsidR="005A1AA8" w:rsidRPr="006314C9">
        <w:rPr>
          <w:rFonts w:cs="Times New Roman"/>
          <w:lang w:val="en-GB"/>
        </w:rPr>
        <w:t xml:space="preserve">directive </w:t>
      </w:r>
      <w:r w:rsidR="00527C5D" w:rsidRPr="006314C9">
        <w:rPr>
          <w:rFonts w:cs="Times New Roman"/>
          <w:lang w:val="en-GB"/>
        </w:rPr>
        <w:t xml:space="preserve">are </w:t>
      </w:r>
      <w:r w:rsidR="005A1AA8" w:rsidRPr="006314C9">
        <w:rPr>
          <w:rFonts w:cs="Times New Roman"/>
          <w:lang w:val="en-GB"/>
        </w:rPr>
        <w:t xml:space="preserve">in </w:t>
      </w:r>
      <w:r w:rsidRPr="006314C9">
        <w:rPr>
          <w:rFonts w:cs="Times New Roman"/>
          <w:lang w:val="en-GB"/>
        </w:rPr>
        <w:t xml:space="preserve">initial </w:t>
      </w:r>
      <w:proofErr w:type="spellStart"/>
      <w:r w:rsidRPr="006314C9">
        <w:rPr>
          <w:rFonts w:cs="Times New Roman"/>
          <w:lang w:val="en-GB"/>
        </w:rPr>
        <w:t>stage</w:t>
      </w:r>
      <w:r w:rsidR="005A1AA8" w:rsidRPr="006314C9">
        <w:rPr>
          <w:rFonts w:cs="Times New Roman"/>
          <w:lang w:val="en-GB"/>
        </w:rPr>
        <w:t>of</w:t>
      </w:r>
      <w:proofErr w:type="spellEnd"/>
      <w:r w:rsidR="005A1AA8" w:rsidRPr="006314C9">
        <w:rPr>
          <w:rFonts w:cs="Times New Roman"/>
          <w:lang w:val="en-GB"/>
        </w:rPr>
        <w:t xml:space="preserve"> implementation. </w:t>
      </w:r>
    </w:p>
    <w:p w:rsidR="00B718BB" w:rsidRPr="006314C9" w:rsidRDefault="00B718BB" w:rsidP="00152F5E">
      <w:pPr>
        <w:rPr>
          <w:rFonts w:cs="Times New Roman"/>
          <w:lang w:val="en-GB"/>
        </w:rPr>
      </w:pPr>
    </w:p>
    <w:p w:rsidR="00B718BB" w:rsidRPr="006314C9" w:rsidRDefault="00B718BB" w:rsidP="00152F5E">
      <w:pPr>
        <w:rPr>
          <w:rFonts w:cs="Times New Roman"/>
          <w:b/>
          <w:i/>
          <w:lang w:val="en-GB"/>
        </w:rPr>
      </w:pPr>
      <w:r w:rsidRPr="006314C9">
        <w:rPr>
          <w:rFonts w:cs="Times New Roman"/>
          <w:b/>
          <w:i/>
          <w:lang w:val="en-GB"/>
        </w:rPr>
        <w:t xml:space="preserve">Administrative capacity </w:t>
      </w:r>
    </w:p>
    <w:p w:rsidR="00B718BB" w:rsidRPr="006314C9" w:rsidRDefault="00B718BB" w:rsidP="00152F5E">
      <w:pPr>
        <w:rPr>
          <w:rFonts w:cs="Times New Roman"/>
          <w:lang w:val="en-GB"/>
        </w:rPr>
      </w:pPr>
      <w:r w:rsidRPr="006314C9">
        <w:rPr>
          <w:rFonts w:cs="Times New Roman"/>
          <w:lang w:val="en-GB"/>
        </w:rPr>
        <w:t xml:space="preserve">It is very common that the competencies for Chapter 27 are distributed among </w:t>
      </w:r>
      <w:proofErr w:type="spellStart"/>
      <w:r w:rsidR="000C4540" w:rsidRPr="006314C9">
        <w:rPr>
          <w:rFonts w:cs="Times New Roman"/>
          <w:lang w:val="en-GB"/>
        </w:rPr>
        <w:t>several</w:t>
      </w:r>
      <w:r w:rsidRPr="006314C9">
        <w:rPr>
          <w:rFonts w:cs="Times New Roman"/>
          <w:lang w:val="en-GB"/>
        </w:rPr>
        <w:t>national</w:t>
      </w:r>
      <w:proofErr w:type="spellEnd"/>
      <w:r w:rsidRPr="006314C9">
        <w:rPr>
          <w:rFonts w:cs="Times New Roman"/>
          <w:lang w:val="en-GB"/>
        </w:rPr>
        <w:t xml:space="preserve"> and local institutions which require additional coordination effort to secure implementation of the environmental legislation. </w:t>
      </w:r>
    </w:p>
    <w:p w:rsidR="006070FE" w:rsidRPr="006314C9" w:rsidRDefault="00B718BB" w:rsidP="00152F5E">
      <w:pPr>
        <w:rPr>
          <w:rFonts w:cs="Times New Roman"/>
          <w:lang w:val="en-GB"/>
        </w:rPr>
      </w:pPr>
      <w:r w:rsidRPr="006314C9">
        <w:rPr>
          <w:rFonts w:cs="Times New Roman"/>
          <w:lang w:val="en-GB"/>
        </w:rPr>
        <w:t xml:space="preserve">There is a clear dominant responsibility for the Chapter 27 that lies within the Ministry of Tourism and Environment (MTE). </w:t>
      </w:r>
      <w:r w:rsidR="006070FE" w:rsidRPr="006314C9">
        <w:rPr>
          <w:rFonts w:cs="Times New Roman"/>
          <w:lang w:val="en-GB"/>
        </w:rPr>
        <w:t xml:space="preserve">MTE has about 130 employees where half of them are working on environmental issues. National Environmental </w:t>
      </w:r>
      <w:r w:rsidR="008D6296" w:rsidRPr="006314C9">
        <w:rPr>
          <w:rFonts w:cs="Times New Roman"/>
          <w:lang w:val="en-GB"/>
        </w:rPr>
        <w:t xml:space="preserve">Agency </w:t>
      </w:r>
      <w:r w:rsidR="006070FE" w:rsidRPr="006314C9">
        <w:rPr>
          <w:rFonts w:cs="Times New Roman"/>
          <w:lang w:val="en-GB"/>
        </w:rPr>
        <w:t xml:space="preserve">(NEA) is </w:t>
      </w:r>
      <w:r w:rsidR="008D6296" w:rsidRPr="006314C9">
        <w:rPr>
          <w:rFonts w:cs="Times New Roman"/>
          <w:lang w:val="en-GB"/>
        </w:rPr>
        <w:t>subordinated</w:t>
      </w:r>
      <w:r w:rsidR="00C931AF" w:rsidRPr="006314C9">
        <w:rPr>
          <w:rFonts w:cs="Times New Roman"/>
          <w:lang w:val="en-GB"/>
        </w:rPr>
        <w:t xml:space="preserve"> to MTE and has 57 </w:t>
      </w:r>
      <w:r w:rsidR="008D6296" w:rsidRPr="006314C9">
        <w:rPr>
          <w:rFonts w:cs="Times New Roman"/>
          <w:lang w:val="en-GB"/>
        </w:rPr>
        <w:t>employees</w:t>
      </w:r>
      <w:r w:rsidR="006070FE" w:rsidRPr="006314C9">
        <w:rPr>
          <w:rFonts w:cs="Times New Roman"/>
          <w:lang w:val="en-GB"/>
        </w:rPr>
        <w:t xml:space="preserve">, which has </w:t>
      </w:r>
      <w:r w:rsidR="008D6296" w:rsidRPr="006314C9">
        <w:rPr>
          <w:rFonts w:cs="Times New Roman"/>
          <w:lang w:val="en-GB"/>
        </w:rPr>
        <w:t>responsibility</w:t>
      </w:r>
      <w:r w:rsidR="006070FE" w:rsidRPr="006314C9">
        <w:rPr>
          <w:rFonts w:cs="Times New Roman"/>
          <w:lang w:val="en-GB"/>
        </w:rPr>
        <w:t xml:space="preserve"> in monitoring, </w:t>
      </w:r>
      <w:r w:rsidR="006F48EB" w:rsidRPr="006314C9">
        <w:rPr>
          <w:rFonts w:cs="Times New Roman"/>
          <w:lang w:val="en-GB"/>
        </w:rPr>
        <w:t>licensing</w:t>
      </w:r>
      <w:r w:rsidR="006070FE" w:rsidRPr="006314C9">
        <w:rPr>
          <w:rFonts w:cs="Times New Roman"/>
          <w:lang w:val="en-GB"/>
        </w:rPr>
        <w:t xml:space="preserve"> and information reporting. Another authority </w:t>
      </w:r>
      <w:r w:rsidR="008D6296" w:rsidRPr="006314C9">
        <w:rPr>
          <w:rFonts w:cs="Times New Roman"/>
          <w:lang w:val="en-GB"/>
        </w:rPr>
        <w:t>subordinated</w:t>
      </w:r>
      <w:r w:rsidR="006070FE" w:rsidRPr="006314C9">
        <w:rPr>
          <w:rFonts w:cs="Times New Roman"/>
          <w:lang w:val="en-GB"/>
        </w:rPr>
        <w:t xml:space="preserve"> to MTE is the National Agency for Protected Area that has </w:t>
      </w:r>
      <w:r w:rsidR="006F48EB" w:rsidRPr="006314C9">
        <w:rPr>
          <w:rFonts w:cs="Times New Roman"/>
          <w:lang w:val="en-GB"/>
        </w:rPr>
        <w:t xml:space="preserve">274 </w:t>
      </w:r>
      <w:r w:rsidR="008D6296" w:rsidRPr="006314C9">
        <w:rPr>
          <w:rFonts w:cs="Times New Roman"/>
          <w:lang w:val="en-GB"/>
        </w:rPr>
        <w:t>employees</w:t>
      </w:r>
      <w:r w:rsidR="006070FE" w:rsidRPr="006314C9">
        <w:rPr>
          <w:rFonts w:cs="Times New Roman"/>
          <w:lang w:val="en-GB"/>
        </w:rPr>
        <w:t>, together with its regional offices is responsible mainly for managing the natural protected areas and forest</w:t>
      </w:r>
      <w:r w:rsidR="000C4540" w:rsidRPr="006314C9">
        <w:rPr>
          <w:rFonts w:cs="Times New Roman"/>
          <w:lang w:val="en-GB"/>
        </w:rPr>
        <w:t>s.</w:t>
      </w:r>
      <w:r w:rsidR="006070FE" w:rsidRPr="006314C9">
        <w:rPr>
          <w:rFonts w:cs="Times New Roman"/>
          <w:lang w:val="en-GB"/>
        </w:rPr>
        <w:t xml:space="preserve"> Inspection is done by the State Inspectorate for Environment, Forestry and </w:t>
      </w:r>
      <w:r w:rsidR="008D6296" w:rsidRPr="006314C9">
        <w:rPr>
          <w:rFonts w:cs="Times New Roman"/>
          <w:lang w:val="en-GB"/>
        </w:rPr>
        <w:t>Tourism</w:t>
      </w:r>
      <w:r w:rsidR="006070FE" w:rsidRPr="006314C9">
        <w:rPr>
          <w:rFonts w:cs="Times New Roman"/>
          <w:lang w:val="en-GB"/>
        </w:rPr>
        <w:t xml:space="preserve"> (</w:t>
      </w:r>
      <w:r w:rsidR="006070FE" w:rsidRPr="006314C9">
        <w:rPr>
          <w:rFonts w:cs="Times New Roman"/>
          <w:lang w:val="en-GB" w:eastAsia="it-IT"/>
        </w:rPr>
        <w:t>SIEFWT</w:t>
      </w:r>
      <w:r w:rsidR="006070FE" w:rsidRPr="006314C9">
        <w:rPr>
          <w:rFonts w:cs="Times New Roman"/>
          <w:lang w:val="en-GB"/>
        </w:rPr>
        <w:t xml:space="preserve">) </w:t>
      </w:r>
      <w:r w:rsidR="006F48EB" w:rsidRPr="006314C9">
        <w:rPr>
          <w:rFonts w:cs="Times New Roman"/>
          <w:lang w:val="en-GB"/>
        </w:rPr>
        <w:t>has</w:t>
      </w:r>
      <w:r w:rsidR="00C86815" w:rsidRPr="006314C9">
        <w:rPr>
          <w:rFonts w:cs="Times New Roman"/>
          <w:lang w:val="en-GB"/>
        </w:rPr>
        <w:t xml:space="preserve"> 91 </w:t>
      </w:r>
      <w:r w:rsidR="006070FE" w:rsidRPr="006314C9">
        <w:rPr>
          <w:rFonts w:cs="Times New Roman"/>
          <w:lang w:val="en-GB"/>
        </w:rPr>
        <w:t>employees</w:t>
      </w:r>
      <w:r w:rsidR="006F48EB" w:rsidRPr="006314C9">
        <w:rPr>
          <w:rFonts w:cs="Times New Roman"/>
          <w:lang w:val="en-GB"/>
        </w:rPr>
        <w:t xml:space="preserve">. In September 2019 a </w:t>
      </w:r>
      <w:r w:rsidR="006070FE" w:rsidRPr="006314C9">
        <w:rPr>
          <w:rFonts w:cs="Times New Roman"/>
          <w:lang w:val="en-GB"/>
        </w:rPr>
        <w:t xml:space="preserve">DCM </w:t>
      </w:r>
      <w:r w:rsidR="006F48EB" w:rsidRPr="006314C9">
        <w:rPr>
          <w:rFonts w:cs="Times New Roman"/>
          <w:lang w:val="en-GB"/>
        </w:rPr>
        <w:t xml:space="preserve">was </w:t>
      </w:r>
      <w:r w:rsidR="006070FE" w:rsidRPr="006314C9">
        <w:rPr>
          <w:rFonts w:cs="Times New Roman"/>
          <w:lang w:val="en-GB"/>
        </w:rPr>
        <w:t xml:space="preserve">adopted </w:t>
      </w:r>
      <w:r w:rsidR="006F48EB" w:rsidRPr="006314C9">
        <w:rPr>
          <w:rFonts w:cs="Times New Roman"/>
          <w:lang w:val="en-GB"/>
        </w:rPr>
        <w:t xml:space="preserve">for the organisational structure of NEA in which SIEFWT was </w:t>
      </w:r>
      <w:r w:rsidR="006070FE" w:rsidRPr="006314C9">
        <w:rPr>
          <w:rFonts w:cs="Times New Roman"/>
          <w:lang w:val="en-GB"/>
        </w:rPr>
        <w:t xml:space="preserve">merged with NEA. </w:t>
      </w:r>
      <w:r w:rsidR="006F48EB" w:rsidRPr="006314C9">
        <w:rPr>
          <w:rFonts w:cs="Times New Roman"/>
          <w:lang w:val="en-GB"/>
        </w:rPr>
        <w:t>However, until this report was prepared SIEFWT still function as a separate pub</w:t>
      </w:r>
      <w:r w:rsidR="006314C9" w:rsidRPr="006314C9">
        <w:rPr>
          <w:rFonts w:cs="Times New Roman"/>
          <w:lang w:val="en-GB"/>
        </w:rPr>
        <w:t>l</w:t>
      </w:r>
      <w:r w:rsidR="006F48EB" w:rsidRPr="006314C9">
        <w:rPr>
          <w:rFonts w:cs="Times New Roman"/>
          <w:lang w:val="en-GB"/>
        </w:rPr>
        <w:t xml:space="preserve">ic body thus in this report will be referred as such. </w:t>
      </w:r>
    </w:p>
    <w:p w:rsidR="00423A39" w:rsidRPr="006314C9" w:rsidRDefault="006070FE" w:rsidP="00152F5E">
      <w:pPr>
        <w:rPr>
          <w:rFonts w:cs="Times New Roman"/>
          <w:lang w:val="en-GB"/>
        </w:rPr>
      </w:pPr>
      <w:r w:rsidRPr="006314C9">
        <w:rPr>
          <w:rFonts w:cs="Times New Roman"/>
          <w:lang w:val="en-GB"/>
        </w:rPr>
        <w:t xml:space="preserve">Out of </w:t>
      </w:r>
      <w:r w:rsidR="00B718BB" w:rsidRPr="006314C9">
        <w:rPr>
          <w:rFonts w:cs="Times New Roman"/>
          <w:lang w:val="en-GB"/>
        </w:rPr>
        <w:t>9 sub</w:t>
      </w:r>
      <w:r w:rsidRPr="006314C9">
        <w:rPr>
          <w:rFonts w:cs="Times New Roman"/>
          <w:lang w:val="en-GB"/>
        </w:rPr>
        <w:t>-</w:t>
      </w:r>
      <w:r w:rsidR="00B718BB" w:rsidRPr="006314C9">
        <w:rPr>
          <w:rFonts w:cs="Times New Roman"/>
          <w:lang w:val="en-GB"/>
        </w:rPr>
        <w:t xml:space="preserve">chapters, MTE has the dominant responsibility </w:t>
      </w:r>
      <w:proofErr w:type="spellStart"/>
      <w:r w:rsidR="000C4540" w:rsidRPr="006314C9">
        <w:rPr>
          <w:rFonts w:cs="Times New Roman"/>
          <w:lang w:val="en-GB"/>
        </w:rPr>
        <w:t>for</w:t>
      </w:r>
      <w:r w:rsidR="00B718BB" w:rsidRPr="006314C9">
        <w:rPr>
          <w:rFonts w:cs="Times New Roman"/>
          <w:lang w:val="en-GB"/>
        </w:rPr>
        <w:t>policy</w:t>
      </w:r>
      <w:proofErr w:type="spellEnd"/>
      <w:r w:rsidR="00B718BB" w:rsidRPr="006314C9">
        <w:rPr>
          <w:rFonts w:cs="Times New Roman"/>
          <w:lang w:val="en-GB"/>
        </w:rPr>
        <w:t xml:space="preserve"> making and implementation</w:t>
      </w:r>
      <w:r w:rsidR="000C4540" w:rsidRPr="006314C9">
        <w:rPr>
          <w:rFonts w:cs="Times New Roman"/>
          <w:lang w:val="en-GB"/>
        </w:rPr>
        <w:t>in</w:t>
      </w:r>
      <w:r w:rsidRPr="006314C9">
        <w:rPr>
          <w:rFonts w:cs="Times New Roman"/>
          <w:lang w:val="en-GB"/>
        </w:rPr>
        <w:t>8 sub-chapter</w:t>
      </w:r>
      <w:r w:rsidR="00B718BB" w:rsidRPr="006314C9">
        <w:rPr>
          <w:rFonts w:cs="Times New Roman"/>
          <w:lang w:val="en-GB"/>
        </w:rPr>
        <w:t xml:space="preserve"> and only</w:t>
      </w:r>
      <w:r w:rsidR="004B7616" w:rsidRPr="006314C9">
        <w:rPr>
          <w:rFonts w:cs="Times New Roman"/>
          <w:lang w:val="en-GB"/>
        </w:rPr>
        <w:t xml:space="preserve"> for </w:t>
      </w:r>
      <w:proofErr w:type="spellStart"/>
      <w:r w:rsidR="004B7616" w:rsidRPr="006314C9">
        <w:rPr>
          <w:rFonts w:cs="Times New Roman"/>
          <w:lang w:val="en-GB"/>
        </w:rPr>
        <w:t>the</w:t>
      </w:r>
      <w:r w:rsidR="00B718BB" w:rsidRPr="006314C9">
        <w:rPr>
          <w:rFonts w:cs="Times New Roman"/>
          <w:b/>
          <w:lang w:val="en-GB"/>
        </w:rPr>
        <w:t>Water</w:t>
      </w:r>
      <w:proofErr w:type="spellEnd"/>
      <w:r w:rsidR="00B718BB" w:rsidRPr="006314C9">
        <w:rPr>
          <w:rFonts w:cs="Times New Roman"/>
          <w:b/>
          <w:lang w:val="en-GB"/>
        </w:rPr>
        <w:t xml:space="preserve"> </w:t>
      </w:r>
      <w:proofErr w:type="spellStart"/>
      <w:r w:rsidR="00B718BB" w:rsidRPr="006314C9">
        <w:rPr>
          <w:rFonts w:cs="Times New Roman"/>
          <w:b/>
          <w:lang w:val="en-GB"/>
        </w:rPr>
        <w:t>Quality</w:t>
      </w:r>
      <w:r w:rsidR="000C4540" w:rsidRPr="006314C9">
        <w:rPr>
          <w:rFonts w:cs="Times New Roman"/>
          <w:lang w:val="en-GB"/>
        </w:rPr>
        <w:t>subchapter</w:t>
      </w:r>
      <w:proofErr w:type="spellEnd"/>
      <w:r w:rsidR="000C4540" w:rsidRPr="006314C9">
        <w:rPr>
          <w:rFonts w:cs="Times New Roman"/>
          <w:lang w:val="en-GB"/>
        </w:rPr>
        <w:t xml:space="preserve"> </w:t>
      </w:r>
      <w:r w:rsidR="00B718BB" w:rsidRPr="006314C9">
        <w:rPr>
          <w:rFonts w:cs="Times New Roman"/>
          <w:lang w:val="en-GB"/>
        </w:rPr>
        <w:t>the dominant responsibility lies within the National Water Council that has the National Agency of Water Resources Management (AMBU) as its executive authority.</w:t>
      </w:r>
    </w:p>
    <w:p w:rsidR="00B718BB" w:rsidRPr="006314C9" w:rsidRDefault="00B718BB" w:rsidP="00152F5E">
      <w:pPr>
        <w:rPr>
          <w:rFonts w:cs="Times New Roman"/>
          <w:lang w:val="en-GB"/>
        </w:rPr>
      </w:pPr>
      <w:r w:rsidRPr="006314C9">
        <w:rPr>
          <w:rFonts w:cs="Times New Roman"/>
          <w:lang w:val="en-GB"/>
        </w:rPr>
        <w:t xml:space="preserve">However, even </w:t>
      </w:r>
      <w:r w:rsidR="00423A39" w:rsidRPr="006314C9">
        <w:rPr>
          <w:rFonts w:cs="Times New Roman"/>
          <w:lang w:val="en-GB"/>
        </w:rPr>
        <w:t xml:space="preserve">if </w:t>
      </w:r>
      <w:r w:rsidRPr="006314C9">
        <w:rPr>
          <w:rFonts w:cs="Times New Roman"/>
          <w:lang w:val="en-GB"/>
        </w:rPr>
        <w:t xml:space="preserve">MTE </w:t>
      </w:r>
      <w:r w:rsidR="00423A39" w:rsidRPr="006314C9">
        <w:rPr>
          <w:rFonts w:cs="Times New Roman"/>
          <w:lang w:val="en-GB"/>
        </w:rPr>
        <w:t xml:space="preserve">is </w:t>
      </w:r>
      <w:r w:rsidRPr="006314C9">
        <w:rPr>
          <w:rFonts w:cs="Times New Roman"/>
          <w:lang w:val="en-GB"/>
        </w:rPr>
        <w:t xml:space="preserve">responsible for </w:t>
      </w:r>
      <w:r w:rsidR="00423A39" w:rsidRPr="006314C9">
        <w:rPr>
          <w:rFonts w:cs="Times New Roman"/>
          <w:lang w:val="en-GB"/>
        </w:rPr>
        <w:t xml:space="preserve">most of legislation, </w:t>
      </w:r>
      <w:r w:rsidRPr="006314C9">
        <w:rPr>
          <w:rFonts w:cs="Times New Roman"/>
          <w:lang w:val="en-GB"/>
        </w:rPr>
        <w:t>implementation is shared with the other ministries and agencies</w:t>
      </w:r>
      <w:r w:rsidR="004B7616" w:rsidRPr="006314C9">
        <w:rPr>
          <w:rFonts w:cs="Times New Roman"/>
          <w:lang w:val="en-GB"/>
        </w:rPr>
        <w:t>, including</w:t>
      </w:r>
      <w:r w:rsidRPr="006314C9">
        <w:rPr>
          <w:rFonts w:cs="Times New Roman"/>
          <w:lang w:val="en-GB"/>
        </w:rPr>
        <w:t xml:space="preserve">: </w:t>
      </w:r>
    </w:p>
    <w:p w:rsidR="006F48EB" w:rsidRPr="006314C9" w:rsidRDefault="006F48EB" w:rsidP="00152F5E">
      <w:pPr>
        <w:pStyle w:val="ListParagraph"/>
        <w:numPr>
          <w:ilvl w:val="0"/>
          <w:numId w:val="24"/>
        </w:numPr>
        <w:rPr>
          <w:rFonts w:cs="Times New Roman"/>
          <w:lang w:val="en-GB"/>
        </w:rPr>
      </w:pPr>
      <w:r w:rsidRPr="006314C9">
        <w:rPr>
          <w:rFonts w:cs="Times New Roman"/>
          <w:lang w:val="en-GB"/>
        </w:rPr>
        <w:t>Ministry of Infrastructure and Energy (MIE)</w:t>
      </w:r>
      <w:r w:rsidR="006314C9">
        <w:rPr>
          <w:rFonts w:cs="Times New Roman"/>
          <w:lang w:val="en-GB"/>
        </w:rPr>
        <w:t>;</w:t>
      </w:r>
    </w:p>
    <w:p w:rsidR="00B718BB" w:rsidRPr="006314C9" w:rsidRDefault="00B718BB" w:rsidP="00152F5E">
      <w:pPr>
        <w:pStyle w:val="ListParagraph"/>
        <w:numPr>
          <w:ilvl w:val="0"/>
          <w:numId w:val="24"/>
        </w:numPr>
        <w:rPr>
          <w:rFonts w:cs="Times New Roman"/>
          <w:lang w:val="en-GB"/>
        </w:rPr>
      </w:pPr>
      <w:r w:rsidRPr="006314C9">
        <w:rPr>
          <w:rFonts w:cs="Times New Roman"/>
          <w:lang w:val="en-GB"/>
        </w:rPr>
        <w:t>Ministry of Agriculture and Rural Development (MARD);</w:t>
      </w:r>
    </w:p>
    <w:p w:rsidR="00B718BB" w:rsidRPr="006314C9" w:rsidRDefault="00B718BB" w:rsidP="00152F5E">
      <w:pPr>
        <w:pStyle w:val="ListParagraph"/>
        <w:numPr>
          <w:ilvl w:val="0"/>
          <w:numId w:val="24"/>
        </w:numPr>
        <w:rPr>
          <w:rFonts w:cs="Times New Roman"/>
          <w:lang w:val="en-GB"/>
        </w:rPr>
      </w:pPr>
      <w:r w:rsidRPr="006314C9">
        <w:rPr>
          <w:rFonts w:cs="Times New Roman"/>
          <w:lang w:val="en-GB"/>
        </w:rPr>
        <w:t>Ministry of Health and Social Affairs (MHSA);</w:t>
      </w:r>
    </w:p>
    <w:p w:rsidR="00B718BB" w:rsidRPr="006314C9" w:rsidRDefault="00B718BB" w:rsidP="00152F5E">
      <w:pPr>
        <w:pStyle w:val="ListParagraph"/>
        <w:numPr>
          <w:ilvl w:val="0"/>
          <w:numId w:val="24"/>
        </w:numPr>
        <w:rPr>
          <w:rFonts w:cs="Times New Roman"/>
          <w:lang w:val="en-GB"/>
        </w:rPr>
      </w:pPr>
      <w:r w:rsidRPr="006314C9">
        <w:rPr>
          <w:rFonts w:cs="Times New Roman"/>
          <w:lang w:val="en-GB"/>
        </w:rPr>
        <w:t>National Agency for Water Supply and Sewerage and Waste Infrastructure (AKUM).</w:t>
      </w:r>
    </w:p>
    <w:p w:rsidR="00B718BB" w:rsidRPr="006314C9" w:rsidRDefault="00B718BB" w:rsidP="00152F5E">
      <w:pPr>
        <w:rPr>
          <w:rFonts w:cs="Times New Roman"/>
          <w:lang w:val="en-GB"/>
        </w:rPr>
      </w:pPr>
      <w:r w:rsidRPr="006314C9">
        <w:rPr>
          <w:rFonts w:cs="Times New Roman"/>
          <w:lang w:val="en-GB"/>
        </w:rPr>
        <w:t xml:space="preserve">In addition, significant competencies for implementation are assigned to the local authorities in particular related to waste and water management. </w:t>
      </w:r>
    </w:p>
    <w:p w:rsidR="00B718BB" w:rsidRPr="006314C9" w:rsidRDefault="00B718BB" w:rsidP="00152F5E">
      <w:pPr>
        <w:ind w:firstLine="720"/>
        <w:rPr>
          <w:rFonts w:cs="Times New Roman"/>
          <w:i/>
          <w:lang w:val="en-GB"/>
        </w:rPr>
      </w:pPr>
      <w:r w:rsidRPr="006314C9">
        <w:rPr>
          <w:rFonts w:cs="Times New Roman"/>
          <w:i/>
          <w:lang w:val="en-GB"/>
        </w:rPr>
        <w:lastRenderedPageBreak/>
        <w:t>National level administrative capacity assessment</w:t>
      </w:r>
    </w:p>
    <w:p w:rsidR="00B718BB" w:rsidRPr="006314C9" w:rsidRDefault="00FE575C" w:rsidP="00152F5E">
      <w:pPr>
        <w:rPr>
          <w:rFonts w:cs="Times New Roman"/>
          <w:lang w:val="en-GB"/>
        </w:rPr>
      </w:pPr>
      <w:r w:rsidRPr="006314C9">
        <w:rPr>
          <w:rFonts w:cs="Times New Roman"/>
          <w:lang w:val="en-GB"/>
        </w:rPr>
        <w:t>C</w:t>
      </w:r>
      <w:r w:rsidR="00B718BB" w:rsidRPr="006314C9">
        <w:rPr>
          <w:rFonts w:cs="Times New Roman"/>
          <w:lang w:val="en-GB"/>
        </w:rPr>
        <w:t>urrent administrative capacities on national level are not sufficient to implement the environmental legislation. For some directives there is no responsible unit – sector or there are no employees working on them, or several directives</w:t>
      </w:r>
      <w:r w:rsidR="003D71B0" w:rsidRPr="006314C9">
        <w:rPr>
          <w:rFonts w:cs="Times New Roman"/>
          <w:lang w:val="en-GB"/>
        </w:rPr>
        <w:t>’ competencies</w:t>
      </w:r>
      <w:r w:rsidR="00B718BB" w:rsidRPr="006314C9">
        <w:rPr>
          <w:rFonts w:cs="Times New Roman"/>
          <w:lang w:val="en-GB"/>
        </w:rPr>
        <w:t xml:space="preserve"> assigned to the same employee, which makes allocation of needed time and effort unrealistic. For some directives/regulations or even some sub-chapters (climate change is an example) there are only 1 or 2 persons responsible for policy making and implementation which by no circumstances is sufficient for implementation and leading the EU negotiations. Consequently, there is a need to establish </w:t>
      </w:r>
      <w:r w:rsidR="003D71B0" w:rsidRPr="006314C9">
        <w:rPr>
          <w:rFonts w:cs="Times New Roman"/>
          <w:lang w:val="en-GB"/>
        </w:rPr>
        <w:t>relevant</w:t>
      </w:r>
      <w:r w:rsidR="00B718BB" w:rsidRPr="006314C9">
        <w:rPr>
          <w:rFonts w:cs="Times New Roman"/>
          <w:lang w:val="en-GB"/>
        </w:rPr>
        <w:t xml:space="preserve"> structure, mainly in the MTE but as well in other ministries and institutions. There is an urgent need of additional staff</w:t>
      </w:r>
      <w:r w:rsidR="003D71B0" w:rsidRPr="006314C9">
        <w:rPr>
          <w:rFonts w:cs="Times New Roman"/>
          <w:lang w:val="en-GB"/>
        </w:rPr>
        <w:t xml:space="preserve">, in particular to MTE and </w:t>
      </w:r>
      <w:proofErr w:type="spellStart"/>
      <w:r w:rsidR="003D71B0" w:rsidRPr="006314C9">
        <w:rPr>
          <w:rFonts w:cs="Times New Roman"/>
          <w:lang w:val="en-GB"/>
        </w:rPr>
        <w:t>it</w:t>
      </w:r>
      <w:r w:rsidR="005D701C" w:rsidRPr="006314C9">
        <w:rPr>
          <w:rFonts w:cs="Times New Roman"/>
          <w:lang w:val="en-GB"/>
        </w:rPr>
        <w:t>ssubordinate</w:t>
      </w:r>
      <w:proofErr w:type="spellEnd"/>
      <w:r w:rsidR="003D71B0" w:rsidRPr="006314C9">
        <w:rPr>
          <w:rFonts w:cs="Times New Roman"/>
          <w:lang w:val="en-GB"/>
        </w:rPr>
        <w:t xml:space="preserve"> </w:t>
      </w:r>
      <w:proofErr w:type="gramStart"/>
      <w:r w:rsidR="003D71B0" w:rsidRPr="006314C9">
        <w:rPr>
          <w:rFonts w:cs="Times New Roman"/>
          <w:lang w:val="en-GB"/>
        </w:rPr>
        <w:t>bodies,</w:t>
      </w:r>
      <w:r w:rsidR="00B718BB" w:rsidRPr="006314C9">
        <w:rPr>
          <w:rFonts w:cs="Times New Roman"/>
          <w:lang w:val="en-GB"/>
        </w:rPr>
        <w:t xml:space="preserve"> that</w:t>
      </w:r>
      <w:proofErr w:type="gramEnd"/>
      <w:r w:rsidR="00B718BB" w:rsidRPr="006314C9">
        <w:rPr>
          <w:rFonts w:cs="Times New Roman"/>
          <w:lang w:val="en-GB"/>
        </w:rPr>
        <w:t xml:space="preserve"> would be engaged in transposition, planning and implementation of the EU </w:t>
      </w:r>
      <w:proofErr w:type="spellStart"/>
      <w:r w:rsidR="00B95D6A" w:rsidRPr="006314C9">
        <w:rPr>
          <w:rFonts w:cs="Times New Roman"/>
          <w:i/>
          <w:lang w:val="en-GB"/>
        </w:rPr>
        <w:t>acquis</w:t>
      </w:r>
      <w:proofErr w:type="spellEnd"/>
      <w:r w:rsidR="00B718BB" w:rsidRPr="006314C9">
        <w:rPr>
          <w:rFonts w:cs="Times New Roman"/>
          <w:lang w:val="en-GB"/>
        </w:rPr>
        <w:t xml:space="preserve"> in environment and climate chan</w:t>
      </w:r>
      <w:r w:rsidR="006D6BDC" w:rsidRPr="006314C9">
        <w:rPr>
          <w:rFonts w:cs="Times New Roman"/>
          <w:lang w:val="en-GB"/>
        </w:rPr>
        <w:t>g</w:t>
      </w:r>
      <w:r w:rsidR="00B718BB" w:rsidRPr="006314C9">
        <w:rPr>
          <w:rFonts w:cs="Times New Roman"/>
          <w:lang w:val="en-GB"/>
        </w:rPr>
        <w:t>e.</w:t>
      </w:r>
    </w:p>
    <w:p w:rsidR="00B718BB" w:rsidRPr="006314C9" w:rsidRDefault="00B718BB" w:rsidP="00152F5E">
      <w:pPr>
        <w:ind w:firstLine="720"/>
        <w:rPr>
          <w:rFonts w:cs="Times New Roman"/>
          <w:i/>
          <w:lang w:val="en-GB"/>
        </w:rPr>
      </w:pPr>
      <w:r w:rsidRPr="006314C9">
        <w:rPr>
          <w:rFonts w:cs="Times New Roman"/>
          <w:i/>
          <w:lang w:val="en-GB"/>
        </w:rPr>
        <w:t>Local level administrative capacity assessment</w:t>
      </w:r>
    </w:p>
    <w:p w:rsidR="00B718BB" w:rsidRPr="006314C9" w:rsidRDefault="00B718BB" w:rsidP="00152F5E">
      <w:pPr>
        <w:rPr>
          <w:rFonts w:cs="Times New Roman"/>
          <w:lang w:val="en-GB"/>
        </w:rPr>
      </w:pPr>
      <w:r w:rsidRPr="006314C9">
        <w:rPr>
          <w:rFonts w:cs="Times New Roman"/>
          <w:lang w:val="en-GB"/>
        </w:rPr>
        <w:t xml:space="preserve">Many competencies in environment are delegated to the local authorities – municipalities which will not be able to ensure implementation unless their capacity and competence is increased. The assessment revealed that only few municipalities have capacity dedicated to environment and the majority does not implement the legislation that they are responsible for. This situation requires special attention and efforts strengthening local level authorities if improvement of implementation situation is expected. </w:t>
      </w:r>
    </w:p>
    <w:p w:rsidR="00B718BB" w:rsidRPr="006314C9" w:rsidRDefault="00B718BB" w:rsidP="00152F5E">
      <w:pPr>
        <w:rPr>
          <w:rFonts w:cs="Times New Roman"/>
          <w:lang w:val="en-GB"/>
        </w:rPr>
      </w:pPr>
      <w:r w:rsidRPr="006314C9">
        <w:rPr>
          <w:rFonts w:cs="Times New Roman"/>
          <w:lang w:val="en-GB"/>
        </w:rPr>
        <w:t xml:space="preserve">As a conclusion the current administrative capacity </w:t>
      </w:r>
      <w:r w:rsidR="00731C5F" w:rsidRPr="006314C9">
        <w:rPr>
          <w:rFonts w:cs="Times New Roman"/>
          <w:lang w:val="en-GB"/>
        </w:rPr>
        <w:t xml:space="preserve">was assessed </w:t>
      </w:r>
      <w:r w:rsidR="002F0A16" w:rsidRPr="006314C9">
        <w:rPr>
          <w:rFonts w:cs="Times New Roman"/>
          <w:lang w:val="en-GB"/>
        </w:rPr>
        <w:t xml:space="preserve">as not </w:t>
      </w:r>
      <w:proofErr w:type="spellStart"/>
      <w:r w:rsidR="002F0A16" w:rsidRPr="006314C9">
        <w:rPr>
          <w:rFonts w:cs="Times New Roman"/>
          <w:lang w:val="en-GB"/>
        </w:rPr>
        <w:t>sufficient</w:t>
      </w:r>
      <w:r w:rsidRPr="006314C9">
        <w:rPr>
          <w:rFonts w:cs="Times New Roman"/>
          <w:lang w:val="en-GB"/>
        </w:rPr>
        <w:t>to</w:t>
      </w:r>
      <w:proofErr w:type="spellEnd"/>
      <w:r w:rsidRPr="006314C9">
        <w:rPr>
          <w:rFonts w:cs="Times New Roman"/>
          <w:lang w:val="en-GB"/>
        </w:rPr>
        <w:t xml:space="preserve"> implement environmental and climate change legislation and immediate measures should be taken to gradually improve the transposition and implementation of the legislation. </w:t>
      </w:r>
    </w:p>
    <w:p w:rsidR="00B718BB" w:rsidRPr="006314C9" w:rsidRDefault="0013230D" w:rsidP="00152F5E">
      <w:pPr>
        <w:ind w:firstLine="720"/>
        <w:rPr>
          <w:rFonts w:cs="Times New Roman"/>
          <w:i/>
          <w:lang w:val="en-GB"/>
        </w:rPr>
      </w:pPr>
      <w:r w:rsidRPr="0013230D">
        <w:rPr>
          <w:rFonts w:cs="Times New Roman"/>
          <w:i/>
          <w:lang w:val="en-GB"/>
        </w:rPr>
        <w:t>Allocation</w:t>
      </w:r>
      <w:r w:rsidR="00B718BB" w:rsidRPr="0013230D">
        <w:rPr>
          <w:rFonts w:cs="Times New Roman"/>
          <w:i/>
          <w:lang w:val="en-GB"/>
        </w:rPr>
        <w:t xml:space="preserve"> of competencies among national authorities</w:t>
      </w:r>
    </w:p>
    <w:p w:rsidR="00B718BB" w:rsidRPr="006314C9" w:rsidRDefault="00BE5B2A" w:rsidP="00152F5E">
      <w:pPr>
        <w:rPr>
          <w:rFonts w:cs="Times New Roman"/>
          <w:lang w:val="en-GB"/>
        </w:rPr>
      </w:pPr>
      <w:r w:rsidRPr="006314C9">
        <w:rPr>
          <w:rFonts w:cs="Times New Roman"/>
          <w:lang w:val="en-GB"/>
        </w:rPr>
        <w:t xml:space="preserve">Undefined </w:t>
      </w:r>
      <w:r w:rsidR="00B718BB" w:rsidRPr="006314C9">
        <w:rPr>
          <w:rFonts w:cs="Times New Roman"/>
          <w:lang w:val="en-GB"/>
        </w:rPr>
        <w:t xml:space="preserve">competencies </w:t>
      </w:r>
      <w:r w:rsidRPr="006314C9">
        <w:rPr>
          <w:rFonts w:cs="Times New Roman"/>
          <w:lang w:val="en-GB"/>
        </w:rPr>
        <w:t xml:space="preserve">for some of directives and regulations </w:t>
      </w:r>
      <w:r w:rsidR="00B718BB" w:rsidRPr="006314C9">
        <w:rPr>
          <w:rFonts w:cs="Times New Roman"/>
          <w:lang w:val="en-GB"/>
        </w:rPr>
        <w:t xml:space="preserve">creates problem </w:t>
      </w:r>
      <w:r w:rsidR="0005731C" w:rsidRPr="006314C9">
        <w:rPr>
          <w:rFonts w:cs="Times New Roman"/>
          <w:lang w:val="en-GB"/>
        </w:rPr>
        <w:t xml:space="preserve">for </w:t>
      </w:r>
      <w:r w:rsidR="00B718BB" w:rsidRPr="006314C9">
        <w:rPr>
          <w:rFonts w:cs="Times New Roman"/>
          <w:lang w:val="en-GB"/>
        </w:rPr>
        <w:t>transposition and implementation.</w:t>
      </w:r>
      <w:r w:rsidR="005D701C" w:rsidRPr="006314C9">
        <w:rPr>
          <w:rFonts w:cs="Times New Roman"/>
          <w:lang w:val="en-GB"/>
        </w:rPr>
        <w:t xml:space="preserve"> In some cases the competent authority is clear but in some cases the competent authority is assigned but there is no designated structure or sufficient capacity within which will transpose and implement the EU </w:t>
      </w:r>
      <w:proofErr w:type="spellStart"/>
      <w:r w:rsidR="00B95D6A" w:rsidRPr="006314C9">
        <w:rPr>
          <w:rFonts w:cs="Times New Roman"/>
          <w:i/>
          <w:lang w:val="en-GB"/>
        </w:rPr>
        <w:t>acquis</w:t>
      </w:r>
      <w:r w:rsidR="005D701C" w:rsidRPr="006314C9">
        <w:rPr>
          <w:rFonts w:cs="Times New Roman"/>
          <w:lang w:val="en-GB"/>
        </w:rPr>
        <w:t>.</w:t>
      </w:r>
      <w:r w:rsidR="0005731C" w:rsidRPr="006314C9">
        <w:rPr>
          <w:rFonts w:cs="Times New Roman"/>
          <w:lang w:val="en-GB"/>
        </w:rPr>
        <w:t>Summary</w:t>
      </w:r>
      <w:proofErr w:type="spellEnd"/>
      <w:r w:rsidR="0005731C" w:rsidRPr="006314C9">
        <w:rPr>
          <w:rFonts w:cs="Times New Roman"/>
          <w:lang w:val="en-GB"/>
        </w:rPr>
        <w:t xml:space="preserve"> of the situation is provided bellow (while detailed </w:t>
      </w:r>
      <w:r w:rsidR="00B718BB" w:rsidRPr="006314C9">
        <w:rPr>
          <w:rFonts w:cs="Times New Roman"/>
          <w:lang w:val="en-GB"/>
        </w:rPr>
        <w:t xml:space="preserve">explanation of competences and capacity </w:t>
      </w:r>
      <w:r w:rsidR="0005731C" w:rsidRPr="006314C9">
        <w:rPr>
          <w:rFonts w:cs="Times New Roman"/>
          <w:lang w:val="en-GB"/>
        </w:rPr>
        <w:t xml:space="preserve">is </w:t>
      </w:r>
      <w:r w:rsidR="00B718BB" w:rsidRPr="006314C9">
        <w:rPr>
          <w:rFonts w:cs="Times New Roman"/>
          <w:lang w:val="en-GB"/>
        </w:rPr>
        <w:t xml:space="preserve">presented </w:t>
      </w:r>
      <w:r w:rsidR="0005731C" w:rsidRPr="006314C9">
        <w:rPr>
          <w:rFonts w:cs="Times New Roman"/>
          <w:lang w:val="en-GB"/>
        </w:rPr>
        <w:t xml:space="preserve">under </w:t>
      </w:r>
      <w:r w:rsidR="00B718BB" w:rsidRPr="006314C9">
        <w:rPr>
          <w:rFonts w:cs="Times New Roman"/>
          <w:lang w:val="en-GB"/>
        </w:rPr>
        <w:t>each sub-chapter</w:t>
      </w:r>
      <w:r w:rsidR="0005731C" w:rsidRPr="006314C9">
        <w:rPr>
          <w:rFonts w:cs="Times New Roman"/>
          <w:lang w:val="en-GB"/>
        </w:rPr>
        <w:t>)</w:t>
      </w:r>
      <w:r w:rsidR="00B718BB" w:rsidRPr="006314C9">
        <w:rPr>
          <w:rFonts w:cs="Times New Roman"/>
          <w:lang w:val="en-GB"/>
        </w:rPr>
        <w:t>:</w:t>
      </w:r>
    </w:p>
    <w:p w:rsidR="00B718BB" w:rsidRPr="006314C9" w:rsidRDefault="002F0A16" w:rsidP="00152F5E">
      <w:pPr>
        <w:pStyle w:val="ListParagraph"/>
        <w:numPr>
          <w:ilvl w:val="0"/>
          <w:numId w:val="23"/>
        </w:numPr>
        <w:spacing w:before="0" w:after="0"/>
        <w:rPr>
          <w:rFonts w:cs="Times New Roman"/>
          <w:lang w:val="en-GB"/>
        </w:rPr>
      </w:pPr>
      <w:r w:rsidRPr="006314C9">
        <w:rPr>
          <w:rFonts w:cs="Times New Roman"/>
          <w:lang w:val="en-GB"/>
        </w:rPr>
        <w:t>Horizontal Legislation</w:t>
      </w:r>
      <w:r w:rsidR="00B718BB" w:rsidRPr="006314C9">
        <w:rPr>
          <w:rFonts w:cs="Times New Roman"/>
          <w:lang w:val="en-GB"/>
        </w:rPr>
        <w:tab/>
      </w:r>
      <w:r w:rsidR="00731C5F" w:rsidRPr="006314C9">
        <w:rPr>
          <w:rFonts w:cs="Times New Roman"/>
          <w:lang w:val="en-GB"/>
        </w:rPr>
        <w:t xml:space="preserve">- </w:t>
      </w:r>
      <w:r w:rsidR="0005731C" w:rsidRPr="006314C9">
        <w:rPr>
          <w:rFonts w:cs="Times New Roman"/>
          <w:lang w:val="en-GB"/>
        </w:rPr>
        <w:t>a</w:t>
      </w:r>
      <w:r w:rsidRPr="006314C9">
        <w:rPr>
          <w:rFonts w:cs="Times New Roman"/>
          <w:lang w:val="en-GB"/>
        </w:rPr>
        <w:t xml:space="preserve">ll 7 </w:t>
      </w:r>
      <w:r w:rsidR="0005731C" w:rsidRPr="006314C9">
        <w:rPr>
          <w:rFonts w:cs="Times New Roman"/>
          <w:lang w:val="en-GB"/>
        </w:rPr>
        <w:t>d</w:t>
      </w:r>
      <w:r w:rsidRPr="006314C9">
        <w:rPr>
          <w:rFonts w:cs="Times New Roman"/>
          <w:lang w:val="en-GB"/>
        </w:rPr>
        <w:t xml:space="preserve">irectives and 1 </w:t>
      </w:r>
      <w:r w:rsidR="0005731C" w:rsidRPr="006314C9">
        <w:rPr>
          <w:rFonts w:cs="Times New Roman"/>
          <w:lang w:val="en-GB"/>
        </w:rPr>
        <w:t>r</w:t>
      </w:r>
      <w:r w:rsidRPr="006314C9">
        <w:rPr>
          <w:rFonts w:cs="Times New Roman"/>
          <w:lang w:val="en-GB"/>
        </w:rPr>
        <w:t xml:space="preserve">ecommendation </w:t>
      </w:r>
      <w:proofErr w:type="spellStart"/>
      <w:r w:rsidR="0005731C" w:rsidRPr="006314C9">
        <w:rPr>
          <w:rFonts w:cs="Times New Roman"/>
          <w:lang w:val="en-GB"/>
        </w:rPr>
        <w:t>ha</w:t>
      </w:r>
      <w:r w:rsidR="005D701C" w:rsidRPr="006314C9">
        <w:rPr>
          <w:rFonts w:cs="Times New Roman"/>
          <w:lang w:val="en-GB"/>
        </w:rPr>
        <w:t>ve</w:t>
      </w:r>
      <w:r w:rsidRPr="006314C9">
        <w:rPr>
          <w:rFonts w:cs="Times New Roman"/>
          <w:lang w:val="en-GB"/>
        </w:rPr>
        <w:t>clear</w:t>
      </w:r>
      <w:proofErr w:type="spellEnd"/>
      <w:r w:rsidRPr="006314C9">
        <w:rPr>
          <w:rFonts w:cs="Times New Roman"/>
          <w:lang w:val="en-GB"/>
        </w:rPr>
        <w:t xml:space="preserve"> </w:t>
      </w:r>
      <w:r w:rsidR="0005731C" w:rsidRPr="006314C9">
        <w:rPr>
          <w:rFonts w:cs="Times New Roman"/>
          <w:lang w:val="en-GB"/>
        </w:rPr>
        <w:t>c</w:t>
      </w:r>
      <w:r w:rsidRPr="006314C9">
        <w:rPr>
          <w:rFonts w:cs="Times New Roman"/>
          <w:lang w:val="en-GB"/>
        </w:rPr>
        <w:t xml:space="preserve">ompetent </w:t>
      </w:r>
      <w:proofErr w:type="spellStart"/>
      <w:r w:rsidR="0005731C" w:rsidRPr="006314C9">
        <w:rPr>
          <w:rFonts w:cs="Times New Roman"/>
          <w:lang w:val="en-GB"/>
        </w:rPr>
        <w:t>a</w:t>
      </w:r>
      <w:r w:rsidRPr="006314C9">
        <w:rPr>
          <w:rFonts w:cs="Times New Roman"/>
          <w:lang w:val="en-GB"/>
        </w:rPr>
        <w:t>uthorit</w:t>
      </w:r>
      <w:r w:rsidR="007832F3" w:rsidRPr="006314C9">
        <w:rPr>
          <w:rFonts w:cs="Times New Roman"/>
          <w:lang w:val="en-GB"/>
        </w:rPr>
        <w:t>ies</w:t>
      </w:r>
      <w:r w:rsidRPr="006314C9">
        <w:rPr>
          <w:rFonts w:cs="Times New Roman"/>
          <w:lang w:val="en-GB"/>
        </w:rPr>
        <w:t>within</w:t>
      </w:r>
      <w:proofErr w:type="spellEnd"/>
      <w:r w:rsidRPr="006314C9">
        <w:rPr>
          <w:rFonts w:cs="Times New Roman"/>
          <w:lang w:val="en-GB"/>
        </w:rPr>
        <w:t xml:space="preserve"> the MTE</w:t>
      </w:r>
      <w:r w:rsidR="0005731C" w:rsidRPr="006314C9">
        <w:rPr>
          <w:rFonts w:cs="Times New Roman"/>
          <w:lang w:val="en-GB"/>
        </w:rPr>
        <w:t>;</w:t>
      </w:r>
    </w:p>
    <w:p w:rsidR="00B718BB" w:rsidRPr="006314C9" w:rsidRDefault="002F0A16" w:rsidP="00152F5E">
      <w:pPr>
        <w:pStyle w:val="ListParagraph"/>
        <w:numPr>
          <w:ilvl w:val="0"/>
          <w:numId w:val="23"/>
        </w:numPr>
        <w:spacing w:before="0" w:after="200"/>
        <w:rPr>
          <w:rFonts w:cs="Times New Roman"/>
          <w:lang w:val="en-GB"/>
        </w:rPr>
      </w:pPr>
      <w:r w:rsidRPr="006314C9">
        <w:rPr>
          <w:rFonts w:cs="Times New Roman"/>
          <w:lang w:val="en-GB"/>
        </w:rPr>
        <w:t>Air Quality</w:t>
      </w:r>
      <w:r w:rsidR="00B718BB" w:rsidRPr="006314C9">
        <w:rPr>
          <w:rFonts w:cs="Times New Roman"/>
          <w:lang w:val="en-GB"/>
        </w:rPr>
        <w:tab/>
      </w:r>
      <w:r w:rsidR="00731C5F" w:rsidRPr="006314C9">
        <w:rPr>
          <w:rFonts w:cs="Times New Roman"/>
          <w:lang w:val="en-GB"/>
        </w:rPr>
        <w:t xml:space="preserve">- </w:t>
      </w:r>
      <w:r w:rsidRPr="006314C9">
        <w:rPr>
          <w:rFonts w:cs="Times New Roman"/>
          <w:lang w:val="en-GB"/>
        </w:rPr>
        <w:t xml:space="preserve">2 </w:t>
      </w:r>
      <w:r w:rsidR="0005731C" w:rsidRPr="006314C9">
        <w:rPr>
          <w:rFonts w:cs="Times New Roman"/>
          <w:lang w:val="en-GB"/>
        </w:rPr>
        <w:t>d</w:t>
      </w:r>
      <w:r w:rsidRPr="006314C9">
        <w:rPr>
          <w:rFonts w:cs="Times New Roman"/>
          <w:lang w:val="en-GB"/>
        </w:rPr>
        <w:t xml:space="preserve">irectives have </w:t>
      </w:r>
      <w:r w:rsidR="0005731C" w:rsidRPr="006314C9">
        <w:rPr>
          <w:rFonts w:cs="Times New Roman"/>
          <w:lang w:val="en-GB"/>
        </w:rPr>
        <w:t>c</w:t>
      </w:r>
      <w:r w:rsidRPr="006314C9">
        <w:rPr>
          <w:rFonts w:cs="Times New Roman"/>
          <w:lang w:val="en-GB"/>
        </w:rPr>
        <w:t xml:space="preserve">lear </w:t>
      </w:r>
      <w:r w:rsidR="0005731C" w:rsidRPr="006314C9">
        <w:rPr>
          <w:rFonts w:cs="Times New Roman"/>
          <w:lang w:val="en-GB"/>
        </w:rPr>
        <w:t>c</w:t>
      </w:r>
      <w:r w:rsidRPr="006314C9">
        <w:rPr>
          <w:rFonts w:cs="Times New Roman"/>
          <w:lang w:val="en-GB"/>
        </w:rPr>
        <w:t xml:space="preserve">ompetent </w:t>
      </w:r>
      <w:proofErr w:type="spellStart"/>
      <w:r w:rsidR="0005731C" w:rsidRPr="006314C9">
        <w:rPr>
          <w:rFonts w:cs="Times New Roman"/>
          <w:lang w:val="en-GB"/>
        </w:rPr>
        <w:t>a</w:t>
      </w:r>
      <w:r w:rsidRPr="006314C9">
        <w:rPr>
          <w:rFonts w:cs="Times New Roman"/>
          <w:lang w:val="en-GB"/>
        </w:rPr>
        <w:t>uthorit</w:t>
      </w:r>
      <w:r w:rsidR="007832F3" w:rsidRPr="006314C9">
        <w:rPr>
          <w:rFonts w:cs="Times New Roman"/>
          <w:lang w:val="en-GB"/>
        </w:rPr>
        <w:t>ies</w:t>
      </w:r>
      <w:r w:rsidRPr="006314C9">
        <w:rPr>
          <w:rFonts w:cs="Times New Roman"/>
          <w:lang w:val="en-GB"/>
        </w:rPr>
        <w:t>within</w:t>
      </w:r>
      <w:proofErr w:type="spellEnd"/>
      <w:r w:rsidRPr="006314C9">
        <w:rPr>
          <w:rFonts w:cs="Times New Roman"/>
          <w:lang w:val="en-GB"/>
        </w:rPr>
        <w:t xml:space="preserve"> MTE while </w:t>
      </w:r>
      <w:r w:rsidR="0005731C" w:rsidRPr="006314C9">
        <w:rPr>
          <w:rFonts w:cs="Times New Roman"/>
          <w:lang w:val="en-GB"/>
        </w:rPr>
        <w:t xml:space="preserve">competent authorities for </w:t>
      </w:r>
      <w:r w:rsidR="00626EF4" w:rsidRPr="006314C9">
        <w:rPr>
          <w:rFonts w:cs="Times New Roman"/>
          <w:lang w:val="en-GB"/>
        </w:rPr>
        <w:t xml:space="preserve">2 </w:t>
      </w:r>
      <w:r w:rsidR="0005731C" w:rsidRPr="006314C9">
        <w:rPr>
          <w:rFonts w:cs="Times New Roman"/>
          <w:lang w:val="en-GB"/>
        </w:rPr>
        <w:t>d</w:t>
      </w:r>
      <w:r w:rsidRPr="006314C9">
        <w:rPr>
          <w:rFonts w:cs="Times New Roman"/>
          <w:lang w:val="en-GB"/>
        </w:rPr>
        <w:t xml:space="preserve">irectives have </w:t>
      </w:r>
      <w:r w:rsidR="00FF25EA" w:rsidRPr="006314C9">
        <w:rPr>
          <w:rFonts w:cs="Times New Roman"/>
          <w:lang w:val="en-GB"/>
        </w:rPr>
        <w:t xml:space="preserve">been assigned </w:t>
      </w:r>
      <w:r w:rsidR="00626EF4" w:rsidRPr="006314C9">
        <w:rPr>
          <w:rFonts w:cs="Times New Roman"/>
          <w:lang w:val="en-GB"/>
        </w:rPr>
        <w:t xml:space="preserve">to MTE </w:t>
      </w:r>
      <w:r w:rsidR="00B95D6A" w:rsidRPr="006314C9">
        <w:rPr>
          <w:rFonts w:cs="Times New Roman"/>
          <w:i/>
          <w:lang w:val="en-GB"/>
        </w:rPr>
        <w:t>(VOC petrol and Stage II VOCs petrol)</w:t>
      </w:r>
      <w:r w:rsidR="00626EF4" w:rsidRPr="006314C9">
        <w:rPr>
          <w:rFonts w:cs="Times New Roman"/>
          <w:lang w:val="en-GB"/>
        </w:rPr>
        <w:t xml:space="preserve"> and 1 directive (Sulphur Content) to MIE </w:t>
      </w:r>
      <w:r w:rsidR="00FF25EA" w:rsidRPr="006314C9">
        <w:rPr>
          <w:rFonts w:cs="Times New Roman"/>
          <w:lang w:val="en-GB"/>
        </w:rPr>
        <w:t>but</w:t>
      </w:r>
      <w:r w:rsidR="00626EF4" w:rsidRPr="006314C9">
        <w:rPr>
          <w:rFonts w:cs="Times New Roman"/>
          <w:lang w:val="en-GB"/>
        </w:rPr>
        <w:t xml:space="preserve"> competencies </w:t>
      </w:r>
      <w:proofErr w:type="spellStart"/>
      <w:r w:rsidR="00626EF4" w:rsidRPr="006314C9">
        <w:rPr>
          <w:rFonts w:cs="Times New Roman"/>
          <w:lang w:val="en-GB"/>
        </w:rPr>
        <w:t>are</w:t>
      </w:r>
      <w:r w:rsidRPr="006314C9">
        <w:rPr>
          <w:rFonts w:cs="Times New Roman"/>
          <w:lang w:val="en-GB"/>
        </w:rPr>
        <w:t>not</w:t>
      </w:r>
      <w:proofErr w:type="spellEnd"/>
      <w:r w:rsidRPr="006314C9">
        <w:rPr>
          <w:rFonts w:cs="Times New Roman"/>
          <w:lang w:val="en-GB"/>
        </w:rPr>
        <w:t xml:space="preserve"> </w:t>
      </w:r>
      <w:r w:rsidR="006314C9" w:rsidRPr="006314C9">
        <w:rPr>
          <w:rFonts w:cs="Times New Roman"/>
          <w:lang w:val="en-GB"/>
        </w:rPr>
        <w:t xml:space="preserve">but not completely defined </w:t>
      </w:r>
      <w:r w:rsidR="00626EF4" w:rsidRPr="006314C9">
        <w:rPr>
          <w:rFonts w:cs="Times New Roman"/>
          <w:lang w:val="en-GB"/>
        </w:rPr>
        <w:t>between these two ministries</w:t>
      </w:r>
      <w:r w:rsidR="0005731C" w:rsidRPr="006314C9">
        <w:rPr>
          <w:rFonts w:cs="Times New Roman"/>
          <w:lang w:val="en-GB"/>
        </w:rPr>
        <w:t>;</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Waste Management</w:t>
      </w:r>
      <w:r w:rsidRPr="006314C9">
        <w:rPr>
          <w:rFonts w:cs="Times New Roman"/>
          <w:lang w:val="en-GB"/>
        </w:rPr>
        <w:tab/>
      </w:r>
      <w:r w:rsidR="00731C5F" w:rsidRPr="006314C9">
        <w:rPr>
          <w:rFonts w:cs="Times New Roman"/>
          <w:lang w:val="en-GB"/>
        </w:rPr>
        <w:t xml:space="preserve">- </w:t>
      </w:r>
      <w:r w:rsidR="00097CAF" w:rsidRPr="006314C9">
        <w:rPr>
          <w:rFonts w:cs="Times New Roman"/>
          <w:lang w:val="en-GB"/>
        </w:rPr>
        <w:t xml:space="preserve">8 </w:t>
      </w:r>
      <w:r w:rsidR="0005731C" w:rsidRPr="006314C9">
        <w:rPr>
          <w:rFonts w:cs="Times New Roman"/>
          <w:lang w:val="en-GB"/>
        </w:rPr>
        <w:t>d</w:t>
      </w:r>
      <w:r w:rsidR="002F0A16" w:rsidRPr="006314C9">
        <w:rPr>
          <w:rFonts w:cs="Times New Roman"/>
          <w:lang w:val="en-GB"/>
        </w:rPr>
        <w:t xml:space="preserve">irectives and 2 </w:t>
      </w:r>
      <w:r w:rsidR="0005731C" w:rsidRPr="006314C9">
        <w:rPr>
          <w:rFonts w:cs="Times New Roman"/>
          <w:lang w:val="en-GB"/>
        </w:rPr>
        <w:t>r</w:t>
      </w:r>
      <w:r w:rsidR="002F0A16" w:rsidRPr="006314C9">
        <w:rPr>
          <w:rFonts w:cs="Times New Roman"/>
          <w:lang w:val="en-GB"/>
        </w:rPr>
        <w:t xml:space="preserve">egulations have </w:t>
      </w:r>
      <w:r w:rsidR="0005731C" w:rsidRPr="006314C9">
        <w:rPr>
          <w:rFonts w:cs="Times New Roman"/>
          <w:lang w:val="en-GB"/>
        </w:rPr>
        <w:t>c</w:t>
      </w:r>
      <w:r w:rsidR="002F0A16" w:rsidRPr="006314C9">
        <w:rPr>
          <w:rFonts w:cs="Times New Roman"/>
          <w:lang w:val="en-GB"/>
        </w:rPr>
        <w:t xml:space="preserve">lear </w:t>
      </w:r>
      <w:r w:rsidR="0005731C" w:rsidRPr="006314C9">
        <w:rPr>
          <w:rFonts w:cs="Times New Roman"/>
          <w:lang w:val="en-GB"/>
        </w:rPr>
        <w:t>c</w:t>
      </w:r>
      <w:r w:rsidR="002F0A16" w:rsidRPr="006314C9">
        <w:rPr>
          <w:rFonts w:cs="Times New Roman"/>
          <w:lang w:val="en-GB"/>
        </w:rPr>
        <w:t xml:space="preserve">ompetent </w:t>
      </w:r>
      <w:r w:rsidR="0005731C" w:rsidRPr="006314C9">
        <w:rPr>
          <w:rFonts w:cs="Times New Roman"/>
          <w:lang w:val="en-GB"/>
        </w:rPr>
        <w:t>a</w:t>
      </w:r>
      <w:r w:rsidR="002F0A16" w:rsidRPr="006314C9">
        <w:rPr>
          <w:rFonts w:cs="Times New Roman"/>
          <w:lang w:val="en-GB"/>
        </w:rPr>
        <w:t>uthorit</w:t>
      </w:r>
      <w:r w:rsidR="007832F3" w:rsidRPr="006314C9">
        <w:rPr>
          <w:rFonts w:cs="Times New Roman"/>
          <w:lang w:val="en-GB"/>
        </w:rPr>
        <w:t>ies</w:t>
      </w:r>
      <w:r w:rsidR="00626EF4" w:rsidRPr="006314C9">
        <w:rPr>
          <w:rFonts w:cs="Times New Roman"/>
          <w:lang w:val="en-GB"/>
        </w:rPr>
        <w:t xml:space="preserve"> within MTE</w:t>
      </w:r>
      <w:r w:rsidR="00B31BE6" w:rsidRPr="006314C9">
        <w:rPr>
          <w:rFonts w:cs="Times New Roman"/>
          <w:lang w:val="en-GB"/>
        </w:rPr>
        <w:t xml:space="preserve">, </w:t>
      </w:r>
      <w:r w:rsidR="006314C9">
        <w:rPr>
          <w:rFonts w:cs="Times New Roman"/>
          <w:lang w:val="en-GB"/>
        </w:rPr>
        <w:t xml:space="preserve">for </w:t>
      </w:r>
      <w:r w:rsidR="00B31BE6" w:rsidRPr="006314C9">
        <w:rPr>
          <w:rFonts w:cs="Times New Roman"/>
          <w:lang w:val="en-GB"/>
        </w:rPr>
        <w:t>1 directive (</w:t>
      </w:r>
      <w:r w:rsidR="00B31BE6" w:rsidRPr="0013230D">
        <w:rPr>
          <w:rFonts w:cs="Times New Roman"/>
          <w:i/>
          <w:lang w:val="en-GB"/>
        </w:rPr>
        <w:t>Mining Waste</w:t>
      </w:r>
      <w:r w:rsidR="00B31BE6" w:rsidRPr="006314C9">
        <w:rPr>
          <w:rFonts w:cs="Times New Roman"/>
          <w:lang w:val="en-GB"/>
        </w:rPr>
        <w:t xml:space="preserve">) competencies are within </w:t>
      </w:r>
      <w:proofErr w:type="spellStart"/>
      <w:r w:rsidR="00B31BE6" w:rsidRPr="006314C9">
        <w:rPr>
          <w:rFonts w:cs="Times New Roman"/>
          <w:lang w:val="en-GB"/>
        </w:rPr>
        <w:t>MIE</w:t>
      </w:r>
      <w:r w:rsidR="002F0A16" w:rsidRPr="006314C9">
        <w:rPr>
          <w:rFonts w:cs="Times New Roman"/>
          <w:lang w:val="en-GB"/>
        </w:rPr>
        <w:t>while</w:t>
      </w:r>
      <w:proofErr w:type="spellEnd"/>
      <w:r w:rsidR="002F0A16" w:rsidRPr="006314C9">
        <w:rPr>
          <w:rFonts w:cs="Times New Roman"/>
          <w:lang w:val="en-GB"/>
        </w:rPr>
        <w:t xml:space="preserve"> </w:t>
      </w:r>
      <w:r w:rsidR="0005731C" w:rsidRPr="006314C9">
        <w:rPr>
          <w:rFonts w:cs="Times New Roman"/>
          <w:lang w:val="en-GB"/>
        </w:rPr>
        <w:t xml:space="preserve">some competencies for </w:t>
      </w:r>
      <w:r w:rsidR="00B31BE6" w:rsidRPr="006314C9">
        <w:rPr>
          <w:rFonts w:cs="Times New Roman"/>
          <w:lang w:val="en-GB"/>
        </w:rPr>
        <w:t xml:space="preserve">1 directive </w:t>
      </w:r>
      <w:r w:rsidR="00B95D6A" w:rsidRPr="006314C9">
        <w:rPr>
          <w:rFonts w:cs="Times New Roman"/>
          <w:i/>
          <w:lang w:val="en-GB"/>
        </w:rPr>
        <w:t>(Sewerage sludge)</w:t>
      </w:r>
      <w:proofErr w:type="spellStart"/>
      <w:r w:rsidR="006314C9">
        <w:rPr>
          <w:rFonts w:cs="Times New Roman"/>
          <w:lang w:val="en-GB"/>
        </w:rPr>
        <w:t>are</w:t>
      </w:r>
      <w:r w:rsidR="00B31BE6" w:rsidRPr="006314C9">
        <w:rPr>
          <w:rFonts w:cs="Times New Roman"/>
          <w:lang w:val="en-GB"/>
        </w:rPr>
        <w:t>assigned</w:t>
      </w:r>
      <w:proofErr w:type="spellEnd"/>
      <w:r w:rsidR="00B31BE6" w:rsidRPr="006314C9">
        <w:rPr>
          <w:rFonts w:cs="Times New Roman"/>
          <w:lang w:val="en-GB"/>
        </w:rPr>
        <w:t xml:space="preserve"> to MARD and </w:t>
      </w:r>
      <w:r w:rsidR="00F0450C">
        <w:rPr>
          <w:rFonts w:cs="Times New Roman"/>
          <w:lang w:val="en-GB"/>
        </w:rPr>
        <w:t xml:space="preserve">for </w:t>
      </w:r>
      <w:r w:rsidR="00B31BE6" w:rsidRPr="006314C9">
        <w:rPr>
          <w:rFonts w:cs="Times New Roman"/>
          <w:lang w:val="en-GB"/>
        </w:rPr>
        <w:t xml:space="preserve">1 directive </w:t>
      </w:r>
      <w:r w:rsidR="00B95D6A" w:rsidRPr="006314C9">
        <w:rPr>
          <w:rFonts w:cs="Times New Roman"/>
          <w:i/>
          <w:lang w:val="en-GB"/>
        </w:rPr>
        <w:t>(Landfill)</w:t>
      </w:r>
      <w:r w:rsidR="00B31BE6" w:rsidRPr="006314C9">
        <w:rPr>
          <w:rFonts w:cs="Times New Roman"/>
          <w:lang w:val="en-GB"/>
        </w:rPr>
        <w:t xml:space="preserve"> is assigned to MIE</w:t>
      </w:r>
      <w:r w:rsidR="00F0450C">
        <w:rPr>
          <w:rFonts w:cs="Times New Roman"/>
          <w:lang w:val="en-GB"/>
        </w:rPr>
        <w:t xml:space="preserve">, but </w:t>
      </w:r>
      <w:r w:rsidR="00B31BE6" w:rsidRPr="006314C9">
        <w:rPr>
          <w:rFonts w:cs="Times New Roman"/>
          <w:lang w:val="en-GB"/>
        </w:rPr>
        <w:t>need to be further clarified</w:t>
      </w:r>
      <w:r w:rsidR="00F0450C">
        <w:rPr>
          <w:rFonts w:cs="Times New Roman"/>
          <w:lang w:val="en-GB"/>
        </w:rPr>
        <w:t xml:space="preserve">. </w:t>
      </w:r>
      <w:r w:rsidR="00097CAF" w:rsidRPr="006314C9">
        <w:rPr>
          <w:rFonts w:cs="Times New Roman"/>
          <w:lang w:val="en-GB"/>
        </w:rPr>
        <w:t xml:space="preserve">For </w:t>
      </w:r>
      <w:r w:rsidR="00B95D6A" w:rsidRPr="006314C9">
        <w:rPr>
          <w:rFonts w:cs="Times New Roman"/>
          <w:i/>
          <w:lang w:val="en-GB"/>
        </w:rPr>
        <w:t>Ship recycling regulation</w:t>
      </w:r>
      <w:r w:rsidR="00097CAF" w:rsidRPr="006314C9">
        <w:rPr>
          <w:rFonts w:cs="Times New Roman"/>
          <w:lang w:val="en-GB"/>
        </w:rPr>
        <w:t xml:space="preserve"> the competent authority is MTE however further clarification is needed with MIE once the transposition wi</w:t>
      </w:r>
      <w:r w:rsidR="00F0450C">
        <w:rPr>
          <w:rFonts w:cs="Times New Roman"/>
          <w:lang w:val="en-GB"/>
        </w:rPr>
        <w:t>l</w:t>
      </w:r>
      <w:r w:rsidR="00097CAF" w:rsidRPr="006314C9">
        <w:rPr>
          <w:rFonts w:cs="Times New Roman"/>
          <w:lang w:val="en-GB"/>
        </w:rPr>
        <w:t>l start</w:t>
      </w:r>
      <w:r w:rsidR="0005731C" w:rsidRPr="006314C9">
        <w:rPr>
          <w:rFonts w:cs="Times New Roman"/>
          <w:lang w:val="en-GB"/>
        </w:rPr>
        <w:t>;</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Water Quality</w:t>
      </w:r>
      <w:r w:rsidRPr="006314C9">
        <w:rPr>
          <w:rFonts w:cs="Times New Roman"/>
          <w:lang w:val="en-GB"/>
        </w:rPr>
        <w:tab/>
      </w:r>
      <w:r w:rsidR="00731C5F" w:rsidRPr="006314C9">
        <w:rPr>
          <w:rFonts w:cs="Times New Roman"/>
          <w:lang w:val="en-GB"/>
        </w:rPr>
        <w:t xml:space="preserve">- </w:t>
      </w:r>
      <w:r w:rsidR="00BE5098" w:rsidRPr="006314C9">
        <w:rPr>
          <w:rFonts w:cs="Times New Roman"/>
          <w:lang w:val="en-GB"/>
        </w:rPr>
        <w:t xml:space="preserve">8 </w:t>
      </w:r>
      <w:r w:rsidR="0005731C" w:rsidRPr="006314C9">
        <w:rPr>
          <w:rFonts w:cs="Times New Roman"/>
          <w:lang w:val="en-GB"/>
        </w:rPr>
        <w:t>d</w:t>
      </w:r>
      <w:r w:rsidR="002F0A16" w:rsidRPr="006314C9">
        <w:rPr>
          <w:rFonts w:cs="Times New Roman"/>
          <w:lang w:val="en-GB"/>
        </w:rPr>
        <w:t xml:space="preserve">irectives have </w:t>
      </w:r>
      <w:r w:rsidR="0005731C" w:rsidRPr="006314C9">
        <w:rPr>
          <w:rFonts w:cs="Times New Roman"/>
          <w:lang w:val="en-GB"/>
        </w:rPr>
        <w:t>c</w:t>
      </w:r>
      <w:r w:rsidR="002F0A16" w:rsidRPr="006314C9">
        <w:rPr>
          <w:rFonts w:cs="Times New Roman"/>
          <w:lang w:val="en-GB"/>
        </w:rPr>
        <w:t xml:space="preserve">lear </w:t>
      </w:r>
      <w:r w:rsidR="0005731C" w:rsidRPr="006314C9">
        <w:rPr>
          <w:rFonts w:cs="Times New Roman"/>
          <w:lang w:val="en-GB"/>
        </w:rPr>
        <w:t>c</w:t>
      </w:r>
      <w:r w:rsidR="002F0A16" w:rsidRPr="006314C9">
        <w:rPr>
          <w:rFonts w:cs="Times New Roman"/>
          <w:lang w:val="en-GB"/>
        </w:rPr>
        <w:t xml:space="preserve">ompetent </w:t>
      </w:r>
      <w:r w:rsidR="0005731C" w:rsidRPr="006314C9">
        <w:rPr>
          <w:rFonts w:cs="Times New Roman"/>
          <w:lang w:val="en-GB"/>
        </w:rPr>
        <w:t>a</w:t>
      </w:r>
      <w:r w:rsidR="002F0A16" w:rsidRPr="006314C9">
        <w:rPr>
          <w:rFonts w:cs="Times New Roman"/>
          <w:lang w:val="en-GB"/>
        </w:rPr>
        <w:t>uthorit</w:t>
      </w:r>
      <w:r w:rsidR="007832F3" w:rsidRPr="006314C9">
        <w:rPr>
          <w:rFonts w:cs="Times New Roman"/>
          <w:lang w:val="en-GB"/>
        </w:rPr>
        <w:t>ies</w:t>
      </w:r>
      <w:r w:rsidR="0005731C" w:rsidRPr="006314C9">
        <w:rPr>
          <w:rFonts w:cs="Times New Roman"/>
          <w:lang w:val="en-GB"/>
        </w:rPr>
        <w:t xml:space="preserve">, </w:t>
      </w:r>
      <w:r w:rsidR="002F0A16" w:rsidRPr="006314C9">
        <w:rPr>
          <w:rFonts w:cs="Times New Roman"/>
          <w:lang w:val="en-GB"/>
        </w:rPr>
        <w:t xml:space="preserve">while </w:t>
      </w:r>
      <w:r w:rsidR="007832F3" w:rsidRPr="006314C9">
        <w:rPr>
          <w:rFonts w:cs="Times New Roman"/>
          <w:lang w:val="en-GB"/>
        </w:rPr>
        <w:t xml:space="preserve">some competencies for </w:t>
      </w:r>
      <w:r w:rsidR="00BE5098" w:rsidRPr="006314C9">
        <w:rPr>
          <w:rFonts w:cs="Times New Roman"/>
          <w:lang w:val="en-GB"/>
        </w:rPr>
        <w:t xml:space="preserve">2 </w:t>
      </w:r>
      <w:r w:rsidR="007832F3" w:rsidRPr="006314C9">
        <w:rPr>
          <w:rFonts w:cs="Times New Roman"/>
          <w:lang w:val="en-GB"/>
        </w:rPr>
        <w:t>d</w:t>
      </w:r>
      <w:r w:rsidR="002F0A16" w:rsidRPr="006314C9">
        <w:rPr>
          <w:rFonts w:cs="Times New Roman"/>
          <w:lang w:val="en-GB"/>
        </w:rPr>
        <w:t xml:space="preserve">irectives </w:t>
      </w:r>
      <w:r w:rsidR="007832F3" w:rsidRPr="006314C9">
        <w:rPr>
          <w:rFonts w:cs="Times New Roman"/>
          <w:lang w:val="en-GB"/>
        </w:rPr>
        <w:t xml:space="preserve">are </w:t>
      </w:r>
      <w:r w:rsidR="00BE5098" w:rsidRPr="006314C9">
        <w:rPr>
          <w:rFonts w:cs="Times New Roman"/>
          <w:lang w:val="en-GB"/>
        </w:rPr>
        <w:t>assigned</w:t>
      </w:r>
      <w:r w:rsidR="007832F3" w:rsidRPr="006314C9">
        <w:rPr>
          <w:rFonts w:cs="Times New Roman"/>
          <w:lang w:val="en-GB"/>
        </w:rPr>
        <w:t xml:space="preserve">, </w:t>
      </w:r>
      <w:r w:rsidR="002F0A16" w:rsidRPr="006314C9">
        <w:rPr>
          <w:rFonts w:cs="Times New Roman"/>
          <w:lang w:val="en-GB"/>
        </w:rPr>
        <w:t xml:space="preserve">but not </w:t>
      </w:r>
      <w:r w:rsidR="007832F3" w:rsidRPr="006314C9">
        <w:rPr>
          <w:rFonts w:cs="Times New Roman"/>
          <w:lang w:val="en-GB"/>
        </w:rPr>
        <w:t>c</w:t>
      </w:r>
      <w:r w:rsidR="002F0A16" w:rsidRPr="006314C9">
        <w:rPr>
          <w:rFonts w:cs="Times New Roman"/>
          <w:lang w:val="en-GB"/>
        </w:rPr>
        <w:t xml:space="preserve">lear </w:t>
      </w:r>
      <w:r w:rsidR="007832F3" w:rsidRPr="006314C9">
        <w:rPr>
          <w:rFonts w:cs="Times New Roman"/>
          <w:lang w:val="en-GB"/>
        </w:rPr>
        <w:t>c</w:t>
      </w:r>
      <w:r w:rsidR="002F0A16" w:rsidRPr="006314C9">
        <w:rPr>
          <w:rFonts w:cs="Times New Roman"/>
          <w:lang w:val="en-GB"/>
        </w:rPr>
        <w:t xml:space="preserve">ompetent </w:t>
      </w:r>
      <w:r w:rsidR="007832F3" w:rsidRPr="006314C9">
        <w:rPr>
          <w:rFonts w:cs="Times New Roman"/>
          <w:lang w:val="en-GB"/>
        </w:rPr>
        <w:t>a</w:t>
      </w:r>
      <w:r w:rsidR="002F0A16" w:rsidRPr="006314C9">
        <w:rPr>
          <w:rFonts w:cs="Times New Roman"/>
          <w:lang w:val="en-GB"/>
        </w:rPr>
        <w:t>uthorit</w:t>
      </w:r>
      <w:r w:rsidR="007832F3" w:rsidRPr="006314C9">
        <w:rPr>
          <w:rFonts w:cs="Times New Roman"/>
          <w:lang w:val="en-GB"/>
        </w:rPr>
        <w:t>ies designated</w:t>
      </w:r>
      <w:r w:rsidR="00BE5098" w:rsidRPr="006314C9">
        <w:rPr>
          <w:rFonts w:cs="Times New Roman"/>
          <w:lang w:val="en-GB"/>
        </w:rPr>
        <w:t xml:space="preserve">. Namely, for </w:t>
      </w:r>
      <w:r w:rsidR="00B95D6A" w:rsidRPr="006314C9">
        <w:rPr>
          <w:rFonts w:cs="Times New Roman"/>
          <w:i/>
          <w:lang w:val="en-GB"/>
        </w:rPr>
        <w:t>UWWT Directive</w:t>
      </w:r>
      <w:r w:rsidR="00BE5098" w:rsidRPr="006314C9">
        <w:rPr>
          <w:rFonts w:cs="Times New Roman"/>
          <w:lang w:val="en-GB"/>
        </w:rPr>
        <w:t xml:space="preserve"> competent authority is </w:t>
      </w:r>
      <w:proofErr w:type="gramStart"/>
      <w:r w:rsidR="00BE5098" w:rsidRPr="006314C9">
        <w:rPr>
          <w:rFonts w:cs="Times New Roman"/>
          <w:lang w:val="en-GB"/>
        </w:rPr>
        <w:t>MIE</w:t>
      </w:r>
      <w:r w:rsidR="00F0450C">
        <w:rPr>
          <w:rFonts w:cs="Times New Roman"/>
          <w:lang w:val="en-GB"/>
        </w:rPr>
        <w:t>,</w:t>
      </w:r>
      <w:proofErr w:type="gramEnd"/>
      <w:r w:rsidR="00BE5098" w:rsidRPr="006314C9">
        <w:rPr>
          <w:rFonts w:cs="Times New Roman"/>
          <w:lang w:val="en-GB"/>
        </w:rPr>
        <w:t xml:space="preserve"> however</w:t>
      </w:r>
      <w:r w:rsidR="00F0450C">
        <w:rPr>
          <w:rFonts w:cs="Times New Roman"/>
          <w:lang w:val="en-GB"/>
        </w:rPr>
        <w:t>,</w:t>
      </w:r>
      <w:r w:rsidR="00BE5098" w:rsidRPr="006314C9">
        <w:rPr>
          <w:rFonts w:cs="Times New Roman"/>
          <w:lang w:val="en-GB"/>
        </w:rPr>
        <w:t xml:space="preserve"> clear distinction of competencies is needed between MIE and AMBU. Clarification of competencies is needed as well between MHSA and MIE in regard to D</w:t>
      </w:r>
      <w:r w:rsidR="00B95D6A" w:rsidRPr="006314C9">
        <w:rPr>
          <w:rFonts w:cs="Times New Roman"/>
          <w:i/>
          <w:lang w:val="en-GB"/>
        </w:rPr>
        <w:t>rinking water</w:t>
      </w:r>
      <w:r w:rsidR="00BE5098" w:rsidRPr="006314C9">
        <w:rPr>
          <w:rFonts w:cs="Times New Roman"/>
          <w:i/>
          <w:lang w:val="en-GB"/>
        </w:rPr>
        <w:t xml:space="preserve"> directive</w:t>
      </w:r>
      <w:r w:rsidR="00BE5098" w:rsidRPr="006314C9">
        <w:rPr>
          <w:rFonts w:cs="Times New Roman"/>
          <w:lang w:val="en-GB"/>
        </w:rPr>
        <w:t>. Clarification of competencies are related to which authority will take a lead in policy making considering that MIE has a leading position towards infrastructure planning</w:t>
      </w:r>
      <w:r w:rsidR="007832F3" w:rsidRPr="006314C9">
        <w:rPr>
          <w:rFonts w:cs="Times New Roman"/>
          <w:lang w:val="en-GB"/>
        </w:rPr>
        <w:t>;</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Nature Protection</w:t>
      </w:r>
      <w:r w:rsidRPr="006314C9">
        <w:rPr>
          <w:rFonts w:cs="Times New Roman"/>
          <w:lang w:val="en-GB"/>
        </w:rPr>
        <w:tab/>
      </w:r>
      <w:r w:rsidR="00731C5F" w:rsidRPr="006314C9">
        <w:rPr>
          <w:rFonts w:cs="Times New Roman"/>
          <w:lang w:val="en-GB"/>
        </w:rPr>
        <w:t xml:space="preserve">- </w:t>
      </w:r>
      <w:r w:rsidR="00D35EB7" w:rsidRPr="006314C9">
        <w:rPr>
          <w:rFonts w:cs="Times New Roman"/>
          <w:lang w:val="en-GB"/>
        </w:rPr>
        <w:t xml:space="preserve">4 </w:t>
      </w:r>
      <w:r w:rsidR="007832F3" w:rsidRPr="006314C9">
        <w:rPr>
          <w:rFonts w:cs="Times New Roman"/>
          <w:lang w:val="en-GB"/>
        </w:rPr>
        <w:t>d</w:t>
      </w:r>
      <w:r w:rsidR="002F0A16" w:rsidRPr="006314C9">
        <w:rPr>
          <w:rFonts w:cs="Times New Roman"/>
          <w:lang w:val="en-GB"/>
        </w:rPr>
        <w:t xml:space="preserve">irectives and 4 </w:t>
      </w:r>
      <w:r w:rsidR="007832F3" w:rsidRPr="006314C9">
        <w:rPr>
          <w:rFonts w:cs="Times New Roman"/>
          <w:lang w:val="en-GB"/>
        </w:rPr>
        <w:t>r</w:t>
      </w:r>
      <w:r w:rsidR="002F0A16" w:rsidRPr="006314C9">
        <w:rPr>
          <w:rFonts w:cs="Times New Roman"/>
          <w:lang w:val="en-GB"/>
        </w:rPr>
        <w:t xml:space="preserve">egulations have </w:t>
      </w:r>
      <w:r w:rsidR="007832F3" w:rsidRPr="006314C9">
        <w:rPr>
          <w:rFonts w:cs="Times New Roman"/>
          <w:lang w:val="en-GB"/>
        </w:rPr>
        <w:t>c</w:t>
      </w:r>
      <w:r w:rsidR="002F0A16" w:rsidRPr="006314C9">
        <w:rPr>
          <w:rFonts w:cs="Times New Roman"/>
          <w:lang w:val="en-GB"/>
        </w:rPr>
        <w:t xml:space="preserve">lear </w:t>
      </w:r>
      <w:r w:rsidR="007832F3" w:rsidRPr="006314C9">
        <w:rPr>
          <w:rFonts w:cs="Times New Roman"/>
          <w:lang w:val="en-GB"/>
        </w:rPr>
        <w:t>c</w:t>
      </w:r>
      <w:r w:rsidR="002F0A16" w:rsidRPr="006314C9">
        <w:rPr>
          <w:rFonts w:cs="Times New Roman"/>
          <w:lang w:val="en-GB"/>
        </w:rPr>
        <w:t xml:space="preserve">ompetent </w:t>
      </w:r>
      <w:proofErr w:type="spellStart"/>
      <w:r w:rsidR="007832F3" w:rsidRPr="006314C9">
        <w:rPr>
          <w:rFonts w:cs="Times New Roman"/>
          <w:lang w:val="en-GB"/>
        </w:rPr>
        <w:t>a</w:t>
      </w:r>
      <w:r w:rsidR="002F0A16" w:rsidRPr="006314C9">
        <w:rPr>
          <w:rFonts w:cs="Times New Roman"/>
          <w:lang w:val="en-GB"/>
        </w:rPr>
        <w:t>uthorit</w:t>
      </w:r>
      <w:r w:rsidR="007832F3" w:rsidRPr="006314C9">
        <w:rPr>
          <w:rFonts w:cs="Times New Roman"/>
          <w:lang w:val="en-GB"/>
        </w:rPr>
        <w:t>ies</w:t>
      </w:r>
      <w:r w:rsidR="002F0A16" w:rsidRPr="006314C9">
        <w:rPr>
          <w:rFonts w:cs="Times New Roman"/>
          <w:lang w:val="en-GB"/>
        </w:rPr>
        <w:t>while</w:t>
      </w:r>
      <w:proofErr w:type="spellEnd"/>
      <w:r w:rsidR="007832F3" w:rsidRPr="006314C9">
        <w:rPr>
          <w:rFonts w:cs="Times New Roman"/>
          <w:lang w:val="en-GB"/>
        </w:rPr>
        <w:t xml:space="preserve"> competent authorities for </w:t>
      </w:r>
      <w:r w:rsidR="002F0A16" w:rsidRPr="006314C9">
        <w:rPr>
          <w:rFonts w:cs="Times New Roman"/>
          <w:lang w:val="en-GB"/>
        </w:rPr>
        <w:t xml:space="preserve">2 </w:t>
      </w:r>
      <w:r w:rsidR="007832F3" w:rsidRPr="006314C9">
        <w:rPr>
          <w:rFonts w:cs="Times New Roman"/>
          <w:lang w:val="en-GB"/>
        </w:rPr>
        <w:t>r</w:t>
      </w:r>
      <w:r w:rsidR="002F0A16" w:rsidRPr="006314C9">
        <w:rPr>
          <w:rFonts w:cs="Times New Roman"/>
          <w:lang w:val="en-GB"/>
        </w:rPr>
        <w:t>egulations</w:t>
      </w:r>
      <w:r w:rsidR="00B95D6A" w:rsidRPr="006314C9">
        <w:rPr>
          <w:rFonts w:cs="Times New Roman"/>
          <w:i/>
          <w:lang w:val="en-GB"/>
        </w:rPr>
        <w:t>(FLEGT and EUTR)</w:t>
      </w:r>
      <w:r w:rsidR="00D35EB7" w:rsidRPr="006314C9">
        <w:rPr>
          <w:rFonts w:cs="Times New Roman"/>
          <w:lang w:val="en-GB"/>
        </w:rPr>
        <w:t>competences are not clear between MTE and MARD</w:t>
      </w:r>
      <w:r w:rsidR="007832F3" w:rsidRPr="006314C9">
        <w:rPr>
          <w:rFonts w:cs="Times New Roman"/>
          <w:lang w:val="en-GB"/>
        </w:rPr>
        <w:t>;</w:t>
      </w:r>
    </w:p>
    <w:p w:rsidR="00B718BB" w:rsidRPr="006314C9" w:rsidRDefault="00B718BB" w:rsidP="00152F5E">
      <w:pPr>
        <w:pStyle w:val="ListParagraph"/>
        <w:numPr>
          <w:ilvl w:val="0"/>
          <w:numId w:val="23"/>
        </w:numPr>
        <w:spacing w:before="0" w:after="200"/>
        <w:rPr>
          <w:rFonts w:cs="Times New Roman"/>
          <w:lang w:val="en-GB"/>
        </w:rPr>
      </w:pPr>
      <w:r w:rsidRPr="0013230D">
        <w:rPr>
          <w:rFonts w:cs="Times New Roman"/>
          <w:lang w:val="en-GB"/>
        </w:rPr>
        <w:lastRenderedPageBreak/>
        <w:t>Industrial Pollution Control</w:t>
      </w:r>
      <w:r w:rsidRPr="0013230D">
        <w:rPr>
          <w:rFonts w:cs="Times New Roman"/>
          <w:lang w:val="en-GB"/>
        </w:rPr>
        <w:tab/>
      </w:r>
      <w:r w:rsidR="00731C5F" w:rsidRPr="0013230D">
        <w:rPr>
          <w:rFonts w:cs="Times New Roman"/>
          <w:lang w:val="en-GB"/>
        </w:rPr>
        <w:t xml:space="preserve">- </w:t>
      </w:r>
      <w:r w:rsidR="00A234D8" w:rsidRPr="0013230D">
        <w:rPr>
          <w:rFonts w:cs="Times New Roman"/>
          <w:lang w:val="en-GB"/>
        </w:rPr>
        <w:t>5</w:t>
      </w:r>
      <w:r w:rsidR="00FA018E" w:rsidRPr="0013230D">
        <w:rPr>
          <w:rFonts w:cs="Times New Roman"/>
          <w:lang w:val="en-GB"/>
        </w:rPr>
        <w:t xml:space="preserve"> directives and regulations </w:t>
      </w:r>
      <w:r w:rsidR="002F0A16" w:rsidRPr="0013230D">
        <w:rPr>
          <w:rFonts w:cs="Times New Roman"/>
          <w:lang w:val="en-GB"/>
        </w:rPr>
        <w:t xml:space="preserve">have </w:t>
      </w:r>
      <w:r w:rsidR="007832F3" w:rsidRPr="0013230D">
        <w:rPr>
          <w:rFonts w:cs="Times New Roman"/>
          <w:lang w:val="en-GB"/>
        </w:rPr>
        <w:t>c</w:t>
      </w:r>
      <w:r w:rsidR="002F0A16" w:rsidRPr="0013230D">
        <w:rPr>
          <w:rFonts w:cs="Times New Roman"/>
          <w:lang w:val="en-GB"/>
        </w:rPr>
        <w:t xml:space="preserve">lear </w:t>
      </w:r>
      <w:r w:rsidR="007832F3" w:rsidRPr="0013230D">
        <w:rPr>
          <w:rFonts w:cs="Times New Roman"/>
          <w:lang w:val="en-GB"/>
        </w:rPr>
        <w:t>c</w:t>
      </w:r>
      <w:r w:rsidR="002F0A16" w:rsidRPr="0013230D">
        <w:rPr>
          <w:rFonts w:cs="Times New Roman"/>
          <w:lang w:val="en-GB"/>
        </w:rPr>
        <w:t>ompeten</w:t>
      </w:r>
      <w:r w:rsidR="0013230D" w:rsidRPr="0013230D">
        <w:rPr>
          <w:rFonts w:cs="Times New Roman"/>
          <w:lang w:val="en-GB"/>
        </w:rPr>
        <w:t xml:space="preserve">cies </w:t>
      </w:r>
      <w:r w:rsidR="00FA018E" w:rsidRPr="0013230D">
        <w:rPr>
          <w:rFonts w:cs="Times New Roman"/>
          <w:lang w:val="en-GB"/>
        </w:rPr>
        <w:t xml:space="preserve">within MTE and </w:t>
      </w:r>
      <w:r w:rsidR="00F0450C" w:rsidRPr="0013230D">
        <w:rPr>
          <w:rFonts w:cs="Times New Roman"/>
          <w:lang w:val="en-GB"/>
        </w:rPr>
        <w:t xml:space="preserve">for </w:t>
      </w:r>
      <w:r w:rsidR="00FA018E" w:rsidRPr="0013230D">
        <w:rPr>
          <w:rFonts w:cs="Times New Roman"/>
          <w:lang w:val="en-GB"/>
        </w:rPr>
        <w:t xml:space="preserve">1 directive </w:t>
      </w:r>
      <w:r w:rsidR="00B95D6A" w:rsidRPr="0013230D">
        <w:rPr>
          <w:rFonts w:cs="Times New Roman"/>
          <w:i/>
          <w:lang w:val="en-GB"/>
        </w:rPr>
        <w:t>(Medium combustion pant</w:t>
      </w:r>
      <w:r w:rsidR="009F3D42" w:rsidRPr="0013230D">
        <w:rPr>
          <w:rFonts w:cs="Times New Roman"/>
          <w:i/>
          <w:lang w:val="en-GB"/>
        </w:rPr>
        <w:t>s</w:t>
      </w:r>
      <w:r w:rsidR="00B95D6A" w:rsidRPr="0013230D">
        <w:rPr>
          <w:rFonts w:cs="Times New Roman"/>
          <w:i/>
          <w:lang w:val="en-GB"/>
        </w:rPr>
        <w:t>)</w:t>
      </w:r>
      <w:r w:rsidR="00FA018E" w:rsidRPr="0013230D">
        <w:rPr>
          <w:rFonts w:cs="Times New Roman"/>
          <w:lang w:val="en-GB"/>
        </w:rPr>
        <w:t xml:space="preserve"> the competent authority is NEA</w:t>
      </w:r>
      <w:r w:rsidR="00A234D8" w:rsidRPr="0013230D">
        <w:rPr>
          <w:rFonts w:cs="Times New Roman"/>
          <w:lang w:val="en-GB"/>
        </w:rPr>
        <w:t xml:space="preserve">. For </w:t>
      </w:r>
      <w:proofErr w:type="spellStart"/>
      <w:r w:rsidR="00A234D8" w:rsidRPr="0013230D">
        <w:rPr>
          <w:rFonts w:cs="Times New Roman"/>
          <w:i/>
          <w:lang w:val="en-GB"/>
        </w:rPr>
        <w:t>Seveso</w:t>
      </w:r>
      <w:proofErr w:type="spellEnd"/>
      <w:r w:rsidR="00A234D8" w:rsidRPr="006314C9">
        <w:rPr>
          <w:rFonts w:cs="Times New Roman"/>
          <w:i/>
          <w:lang w:val="en-GB"/>
        </w:rPr>
        <w:t xml:space="preserve"> III </w:t>
      </w:r>
      <w:r w:rsidR="00F0450C" w:rsidRPr="006314C9">
        <w:rPr>
          <w:rFonts w:cs="Times New Roman"/>
          <w:lang w:val="en-GB"/>
        </w:rPr>
        <w:t xml:space="preserve">directive </w:t>
      </w:r>
      <w:r w:rsidR="00A234D8" w:rsidRPr="006314C9">
        <w:rPr>
          <w:rFonts w:cs="Times New Roman"/>
          <w:lang w:val="en-GB"/>
        </w:rPr>
        <w:t xml:space="preserve">competences are assigned </w:t>
      </w:r>
      <w:proofErr w:type="spellStart"/>
      <w:r w:rsidR="00F0450C">
        <w:rPr>
          <w:rFonts w:cs="Times New Roman"/>
          <w:lang w:val="en-GB"/>
        </w:rPr>
        <w:t>for</w:t>
      </w:r>
      <w:r w:rsidR="00A234D8" w:rsidRPr="006314C9">
        <w:rPr>
          <w:rFonts w:cs="Times New Roman"/>
          <w:lang w:val="en-GB"/>
        </w:rPr>
        <w:t>MTE</w:t>
      </w:r>
      <w:proofErr w:type="spellEnd"/>
      <w:r w:rsidR="00A234D8" w:rsidRPr="006314C9">
        <w:rPr>
          <w:rFonts w:cs="Times New Roman"/>
          <w:lang w:val="en-GB"/>
        </w:rPr>
        <w:t xml:space="preserve"> however, considering the scope of the </w:t>
      </w:r>
      <w:proofErr w:type="spellStart"/>
      <w:r w:rsidR="00A234D8" w:rsidRPr="006314C9">
        <w:rPr>
          <w:rFonts w:cs="Times New Roman"/>
          <w:lang w:val="en-GB"/>
        </w:rPr>
        <w:t>directive</w:t>
      </w:r>
      <w:r w:rsidR="00F0450C">
        <w:rPr>
          <w:rFonts w:cs="Times New Roman"/>
          <w:lang w:val="en-GB"/>
        </w:rPr>
        <w:t>,further</w:t>
      </w:r>
      <w:proofErr w:type="spellEnd"/>
      <w:r w:rsidR="00F0450C">
        <w:rPr>
          <w:rFonts w:cs="Times New Roman"/>
          <w:lang w:val="en-GB"/>
        </w:rPr>
        <w:t xml:space="preserve"> </w:t>
      </w:r>
      <w:r w:rsidR="00A234D8" w:rsidRPr="006314C9">
        <w:rPr>
          <w:rFonts w:cs="Times New Roman"/>
          <w:lang w:val="en-GB"/>
        </w:rPr>
        <w:t>clarification is needed with the Ministry of Interior</w:t>
      </w:r>
      <w:r w:rsidR="007832F3" w:rsidRPr="006314C9">
        <w:rPr>
          <w:rFonts w:cs="Times New Roman"/>
          <w:lang w:val="en-GB"/>
        </w:rPr>
        <w:t>;</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Chemicals</w:t>
      </w:r>
      <w:r w:rsidRPr="006314C9">
        <w:rPr>
          <w:rFonts w:cs="Times New Roman"/>
          <w:lang w:val="en-GB"/>
        </w:rPr>
        <w:tab/>
      </w:r>
      <w:r w:rsidR="009F3D42" w:rsidRPr="006314C9">
        <w:rPr>
          <w:rFonts w:cs="Times New Roman"/>
          <w:lang w:val="en-GB"/>
        </w:rPr>
        <w:t>for 5 directives competencies have been assigned to MTE however</w:t>
      </w:r>
      <w:r w:rsidR="00F0450C">
        <w:rPr>
          <w:rFonts w:cs="Times New Roman"/>
          <w:lang w:val="en-GB"/>
        </w:rPr>
        <w:t>,</w:t>
      </w:r>
      <w:r w:rsidR="003815D2" w:rsidRPr="006314C9">
        <w:rPr>
          <w:rFonts w:cs="Times New Roman"/>
          <w:lang w:val="en-GB"/>
        </w:rPr>
        <w:t xml:space="preserve"> with the DCM adopted in September 2019</w:t>
      </w:r>
      <w:r w:rsidR="00F0450C">
        <w:rPr>
          <w:rFonts w:cs="Times New Roman"/>
          <w:lang w:val="en-GB"/>
        </w:rPr>
        <w:t>,</w:t>
      </w:r>
      <w:r w:rsidR="003815D2" w:rsidRPr="006314C9">
        <w:rPr>
          <w:rFonts w:cs="Times New Roman"/>
          <w:lang w:val="en-GB"/>
        </w:rPr>
        <w:t xml:space="preserve"> Chemical office was envisaged within the structure of NEA. </w:t>
      </w:r>
      <w:proofErr w:type="spellStart"/>
      <w:r w:rsidR="003815D2" w:rsidRPr="006314C9">
        <w:rPr>
          <w:rFonts w:cs="Times New Roman"/>
          <w:lang w:val="en-GB"/>
        </w:rPr>
        <w:t>Consequently</w:t>
      </w:r>
      <w:proofErr w:type="gramStart"/>
      <w:r w:rsidR="00F0450C">
        <w:rPr>
          <w:rFonts w:cs="Times New Roman"/>
          <w:lang w:val="en-GB"/>
        </w:rPr>
        <w:t>,</w:t>
      </w:r>
      <w:r w:rsidR="009F3D42" w:rsidRPr="006314C9">
        <w:rPr>
          <w:rFonts w:cs="Times New Roman"/>
          <w:lang w:val="en-GB"/>
        </w:rPr>
        <w:t>further</w:t>
      </w:r>
      <w:proofErr w:type="spellEnd"/>
      <w:proofErr w:type="gramEnd"/>
      <w:r w:rsidR="009F3D42" w:rsidRPr="006314C9">
        <w:rPr>
          <w:rFonts w:cs="Times New Roman"/>
          <w:lang w:val="en-GB"/>
        </w:rPr>
        <w:t xml:space="preserve"> clarification is needed </w:t>
      </w:r>
      <w:r w:rsidR="003815D2" w:rsidRPr="006314C9">
        <w:rPr>
          <w:rFonts w:cs="Times New Roman"/>
          <w:lang w:val="en-GB"/>
        </w:rPr>
        <w:t xml:space="preserve">between MTE and NEA </w:t>
      </w:r>
      <w:r w:rsidR="009F3D42" w:rsidRPr="006314C9">
        <w:rPr>
          <w:rFonts w:cs="Times New Roman"/>
          <w:lang w:val="en-GB"/>
        </w:rPr>
        <w:t>once</w:t>
      </w:r>
      <w:r w:rsidR="003815D2" w:rsidRPr="006314C9">
        <w:rPr>
          <w:rFonts w:cs="Times New Roman"/>
          <w:lang w:val="en-GB"/>
        </w:rPr>
        <w:t xml:space="preserve"> </w:t>
      </w:r>
      <w:proofErr w:type="spellStart"/>
      <w:r w:rsidR="003815D2" w:rsidRPr="006314C9">
        <w:rPr>
          <w:rFonts w:cs="Times New Roman"/>
          <w:lang w:val="en-GB"/>
        </w:rPr>
        <w:t>theChemical</w:t>
      </w:r>
      <w:proofErr w:type="spellEnd"/>
      <w:r w:rsidR="003815D2" w:rsidRPr="006314C9">
        <w:rPr>
          <w:rFonts w:cs="Times New Roman"/>
          <w:lang w:val="en-GB"/>
        </w:rPr>
        <w:t xml:space="preserve"> Office is established. F</w:t>
      </w:r>
      <w:r w:rsidR="007832F3" w:rsidRPr="006314C9">
        <w:rPr>
          <w:rFonts w:cs="Times New Roman"/>
          <w:lang w:val="en-GB"/>
        </w:rPr>
        <w:t xml:space="preserve">or </w:t>
      </w:r>
      <w:r w:rsidR="002F0A16" w:rsidRPr="006314C9">
        <w:rPr>
          <w:rFonts w:cs="Times New Roman"/>
          <w:lang w:val="en-GB"/>
        </w:rPr>
        <w:t xml:space="preserve">1 </w:t>
      </w:r>
      <w:r w:rsidR="007832F3" w:rsidRPr="006314C9">
        <w:rPr>
          <w:rFonts w:cs="Times New Roman"/>
          <w:lang w:val="en-GB"/>
        </w:rPr>
        <w:t>d</w:t>
      </w:r>
      <w:r w:rsidR="002F0A16" w:rsidRPr="006314C9">
        <w:rPr>
          <w:rFonts w:cs="Times New Roman"/>
          <w:lang w:val="en-GB"/>
        </w:rPr>
        <w:t xml:space="preserve">irective </w:t>
      </w:r>
      <w:r w:rsidR="00B95D6A" w:rsidRPr="006314C9">
        <w:rPr>
          <w:rFonts w:cs="Times New Roman"/>
          <w:i/>
          <w:lang w:val="en-GB"/>
        </w:rPr>
        <w:t>(Welfare of Experimental Animals)</w:t>
      </w:r>
      <w:r w:rsidR="003815D2" w:rsidRPr="006314C9">
        <w:rPr>
          <w:rFonts w:cs="Times New Roman"/>
          <w:lang w:val="en-GB"/>
        </w:rPr>
        <w:t xml:space="preserve"> competence </w:t>
      </w:r>
      <w:proofErr w:type="spellStart"/>
      <w:r w:rsidR="00F0450C">
        <w:rPr>
          <w:rFonts w:cs="Times New Roman"/>
          <w:lang w:val="en-GB"/>
        </w:rPr>
        <w:t>is</w:t>
      </w:r>
      <w:r w:rsidR="003815D2" w:rsidRPr="006314C9">
        <w:rPr>
          <w:rFonts w:cs="Times New Roman"/>
          <w:lang w:val="en-GB"/>
        </w:rPr>
        <w:t>allocated</w:t>
      </w:r>
      <w:proofErr w:type="spellEnd"/>
      <w:r w:rsidR="003815D2" w:rsidRPr="006314C9">
        <w:rPr>
          <w:rFonts w:cs="Times New Roman"/>
          <w:lang w:val="en-GB"/>
        </w:rPr>
        <w:t xml:space="preserve"> to MARD however </w:t>
      </w:r>
      <w:r w:rsidR="00F0450C" w:rsidRPr="00F0450C">
        <w:rPr>
          <w:rFonts w:cs="Times New Roman"/>
          <w:lang w:val="en-GB"/>
        </w:rPr>
        <w:t>not completely defined</w:t>
      </w:r>
      <w:r w:rsidR="001E55BE" w:rsidRPr="006314C9">
        <w:rPr>
          <w:rFonts w:cs="Times New Roman"/>
          <w:lang w:val="en-GB"/>
        </w:rPr>
        <w:t xml:space="preserve">. For </w:t>
      </w:r>
      <w:r w:rsidR="00B95D6A" w:rsidRPr="006314C9">
        <w:rPr>
          <w:rFonts w:cs="Times New Roman"/>
          <w:i/>
          <w:lang w:val="en-GB"/>
        </w:rPr>
        <w:t>Biocide regulation</w:t>
      </w:r>
      <w:r w:rsidR="001E55BE" w:rsidRPr="006314C9">
        <w:rPr>
          <w:rFonts w:cs="Times New Roman"/>
          <w:lang w:val="en-GB"/>
        </w:rPr>
        <w:t xml:space="preserve"> the competences are with MHSA</w:t>
      </w:r>
      <w:r w:rsidR="007832F3" w:rsidRPr="006314C9">
        <w:rPr>
          <w:rFonts w:cs="Times New Roman"/>
          <w:lang w:val="en-GB"/>
        </w:rPr>
        <w:t>;</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Noise</w:t>
      </w:r>
      <w:r w:rsidR="005D701C" w:rsidRPr="006314C9">
        <w:rPr>
          <w:rFonts w:cs="Times New Roman"/>
          <w:lang w:val="en-GB"/>
        </w:rPr>
        <w:t xml:space="preserve"> </w:t>
      </w:r>
      <w:proofErr w:type="spellStart"/>
      <w:r w:rsidR="005D701C" w:rsidRPr="006314C9">
        <w:rPr>
          <w:rFonts w:cs="Times New Roman"/>
          <w:lang w:val="en-GB"/>
        </w:rPr>
        <w:t>as</w:t>
      </w:r>
      <w:r w:rsidR="002F0A16" w:rsidRPr="006314C9">
        <w:rPr>
          <w:rFonts w:cs="Times New Roman"/>
          <w:lang w:val="en-GB"/>
        </w:rPr>
        <w:t>the</w:t>
      </w:r>
      <w:proofErr w:type="spellEnd"/>
      <w:r w:rsidR="002F0A16" w:rsidRPr="006314C9">
        <w:rPr>
          <w:rFonts w:cs="Times New Roman"/>
          <w:lang w:val="en-GB"/>
        </w:rPr>
        <w:t xml:space="preserve"> only </w:t>
      </w:r>
      <w:r w:rsidR="007832F3" w:rsidRPr="006314C9">
        <w:rPr>
          <w:rFonts w:cs="Times New Roman"/>
          <w:lang w:val="en-GB"/>
        </w:rPr>
        <w:t>d</w:t>
      </w:r>
      <w:r w:rsidR="002F0A16" w:rsidRPr="006314C9">
        <w:rPr>
          <w:rFonts w:cs="Times New Roman"/>
          <w:lang w:val="en-GB"/>
        </w:rPr>
        <w:t xml:space="preserve">irective in this subchapter has </w:t>
      </w:r>
      <w:r w:rsidR="007832F3" w:rsidRPr="006314C9">
        <w:rPr>
          <w:rFonts w:cs="Times New Roman"/>
          <w:lang w:val="en-GB"/>
        </w:rPr>
        <w:t>c</w:t>
      </w:r>
      <w:r w:rsidR="002F0A16" w:rsidRPr="006314C9">
        <w:rPr>
          <w:rFonts w:cs="Times New Roman"/>
          <w:lang w:val="en-GB"/>
        </w:rPr>
        <w:t xml:space="preserve">lear </w:t>
      </w:r>
      <w:r w:rsidR="007832F3" w:rsidRPr="006314C9">
        <w:rPr>
          <w:rFonts w:cs="Times New Roman"/>
          <w:lang w:val="en-GB"/>
        </w:rPr>
        <w:t>c</w:t>
      </w:r>
      <w:r w:rsidR="002F0A16" w:rsidRPr="006314C9">
        <w:rPr>
          <w:rFonts w:cs="Times New Roman"/>
          <w:lang w:val="en-GB"/>
        </w:rPr>
        <w:t xml:space="preserve">ompetent </w:t>
      </w:r>
      <w:r w:rsidR="007832F3" w:rsidRPr="006314C9">
        <w:rPr>
          <w:rFonts w:cs="Times New Roman"/>
          <w:lang w:val="en-GB"/>
        </w:rPr>
        <w:t>a</w:t>
      </w:r>
      <w:r w:rsidR="002F0A16" w:rsidRPr="006314C9">
        <w:rPr>
          <w:rFonts w:cs="Times New Roman"/>
          <w:lang w:val="en-GB"/>
        </w:rPr>
        <w:t>uthorit</w:t>
      </w:r>
      <w:r w:rsidR="001E55BE" w:rsidRPr="006314C9">
        <w:rPr>
          <w:rFonts w:cs="Times New Roman"/>
          <w:lang w:val="en-GB"/>
        </w:rPr>
        <w:t>y within MTE</w:t>
      </w:r>
      <w:r w:rsidR="007832F3" w:rsidRPr="006314C9">
        <w:rPr>
          <w:rFonts w:cs="Times New Roman"/>
          <w:lang w:val="en-GB"/>
        </w:rPr>
        <w:t>;</w:t>
      </w:r>
    </w:p>
    <w:p w:rsidR="00B718BB" w:rsidRPr="006314C9" w:rsidRDefault="00B718BB" w:rsidP="00152F5E">
      <w:pPr>
        <w:pStyle w:val="ListParagraph"/>
        <w:numPr>
          <w:ilvl w:val="0"/>
          <w:numId w:val="23"/>
        </w:numPr>
        <w:spacing w:before="0" w:after="200"/>
        <w:rPr>
          <w:rFonts w:cs="Times New Roman"/>
          <w:lang w:val="en-GB"/>
        </w:rPr>
      </w:pPr>
      <w:r w:rsidRPr="006314C9">
        <w:rPr>
          <w:rFonts w:cs="Times New Roman"/>
          <w:lang w:val="en-GB"/>
        </w:rPr>
        <w:t>Climate Change</w:t>
      </w:r>
      <w:r w:rsidRPr="006314C9">
        <w:rPr>
          <w:rFonts w:cs="Times New Roman"/>
          <w:lang w:val="en-GB"/>
        </w:rPr>
        <w:tab/>
      </w:r>
      <w:r w:rsidRPr="006314C9">
        <w:rPr>
          <w:rFonts w:cs="Times New Roman"/>
          <w:lang w:val="en-GB"/>
        </w:rPr>
        <w:tab/>
      </w:r>
      <w:r w:rsidR="00731C5F" w:rsidRPr="006314C9">
        <w:rPr>
          <w:rFonts w:cs="Times New Roman"/>
          <w:lang w:val="en-GB"/>
        </w:rPr>
        <w:t xml:space="preserve">- </w:t>
      </w:r>
      <w:r w:rsidR="004F018E" w:rsidRPr="006314C9">
        <w:rPr>
          <w:rFonts w:cs="Times New Roman"/>
          <w:lang w:val="en-GB"/>
        </w:rPr>
        <w:t xml:space="preserve">3 </w:t>
      </w:r>
      <w:r w:rsidR="007832F3" w:rsidRPr="006314C9">
        <w:rPr>
          <w:rFonts w:cs="Times New Roman"/>
          <w:lang w:val="en-GB"/>
        </w:rPr>
        <w:t>d</w:t>
      </w:r>
      <w:r w:rsidR="002F0A16" w:rsidRPr="006314C9">
        <w:rPr>
          <w:rFonts w:cs="Times New Roman"/>
          <w:lang w:val="en-GB"/>
        </w:rPr>
        <w:t xml:space="preserve">irectives, 3 </w:t>
      </w:r>
      <w:r w:rsidR="007832F3" w:rsidRPr="006314C9">
        <w:rPr>
          <w:rFonts w:cs="Times New Roman"/>
          <w:lang w:val="en-GB"/>
        </w:rPr>
        <w:t>r</w:t>
      </w:r>
      <w:r w:rsidR="002F0A16" w:rsidRPr="006314C9">
        <w:rPr>
          <w:rFonts w:cs="Times New Roman"/>
          <w:lang w:val="en-GB"/>
        </w:rPr>
        <w:t xml:space="preserve">egulations and 1 </w:t>
      </w:r>
      <w:r w:rsidR="007832F3" w:rsidRPr="006314C9">
        <w:rPr>
          <w:rFonts w:cs="Times New Roman"/>
          <w:lang w:val="en-GB"/>
        </w:rPr>
        <w:t>d</w:t>
      </w:r>
      <w:r w:rsidR="002F0A16" w:rsidRPr="006314C9">
        <w:rPr>
          <w:rFonts w:cs="Times New Roman"/>
          <w:lang w:val="en-GB"/>
        </w:rPr>
        <w:t xml:space="preserve">ecision have </w:t>
      </w:r>
      <w:r w:rsidR="007832F3" w:rsidRPr="006314C9">
        <w:rPr>
          <w:rFonts w:cs="Times New Roman"/>
          <w:lang w:val="en-GB"/>
        </w:rPr>
        <w:t>c</w:t>
      </w:r>
      <w:r w:rsidR="002F0A16" w:rsidRPr="006314C9">
        <w:rPr>
          <w:rFonts w:cs="Times New Roman"/>
          <w:lang w:val="en-GB"/>
        </w:rPr>
        <w:t xml:space="preserve">lear </w:t>
      </w:r>
      <w:r w:rsidR="007832F3" w:rsidRPr="006314C9">
        <w:rPr>
          <w:rFonts w:cs="Times New Roman"/>
          <w:lang w:val="en-GB"/>
        </w:rPr>
        <w:t>c</w:t>
      </w:r>
      <w:r w:rsidR="002F0A16" w:rsidRPr="006314C9">
        <w:rPr>
          <w:rFonts w:cs="Times New Roman"/>
          <w:lang w:val="en-GB"/>
        </w:rPr>
        <w:t xml:space="preserve">ompetent </w:t>
      </w:r>
      <w:r w:rsidR="007832F3" w:rsidRPr="006314C9">
        <w:rPr>
          <w:rFonts w:cs="Times New Roman"/>
          <w:lang w:val="en-GB"/>
        </w:rPr>
        <w:t>a</w:t>
      </w:r>
      <w:r w:rsidR="002F0A16" w:rsidRPr="006314C9">
        <w:rPr>
          <w:rFonts w:cs="Times New Roman"/>
          <w:lang w:val="en-GB"/>
        </w:rPr>
        <w:t>uthorities</w:t>
      </w:r>
      <w:r w:rsidR="00371D77" w:rsidRPr="006314C9">
        <w:rPr>
          <w:rFonts w:cs="Times New Roman"/>
          <w:lang w:val="en-GB"/>
        </w:rPr>
        <w:t xml:space="preserve"> within MTE</w:t>
      </w:r>
      <w:r w:rsidR="004F018E" w:rsidRPr="006314C9">
        <w:rPr>
          <w:rFonts w:cs="Times New Roman"/>
          <w:lang w:val="en-GB"/>
        </w:rPr>
        <w:t xml:space="preserve">. For </w:t>
      </w:r>
      <w:r w:rsidR="00B95D6A" w:rsidRPr="006314C9">
        <w:rPr>
          <w:rFonts w:cs="Times New Roman"/>
          <w:i/>
          <w:lang w:val="en-GB"/>
        </w:rPr>
        <w:t>Fuel Quality directive</w:t>
      </w:r>
      <w:r w:rsidR="004F018E" w:rsidRPr="006314C9">
        <w:rPr>
          <w:rFonts w:cs="Times New Roman"/>
          <w:lang w:val="en-GB"/>
        </w:rPr>
        <w:t xml:space="preserve"> the </w:t>
      </w:r>
      <w:r w:rsidR="007832F3" w:rsidRPr="006314C9">
        <w:rPr>
          <w:rFonts w:cs="Times New Roman"/>
          <w:lang w:val="en-GB"/>
        </w:rPr>
        <w:t xml:space="preserve">competencies </w:t>
      </w:r>
      <w:r w:rsidR="004F018E" w:rsidRPr="006314C9">
        <w:rPr>
          <w:rFonts w:cs="Times New Roman"/>
          <w:lang w:val="en-GB"/>
        </w:rPr>
        <w:t xml:space="preserve">are within MIE. For </w:t>
      </w:r>
      <w:r w:rsidR="002F0A16" w:rsidRPr="006314C9">
        <w:rPr>
          <w:rFonts w:cs="Times New Roman"/>
          <w:lang w:val="en-GB"/>
        </w:rPr>
        <w:t xml:space="preserve">1 </w:t>
      </w:r>
      <w:r w:rsidR="004F018E" w:rsidRPr="006314C9">
        <w:rPr>
          <w:rFonts w:cs="Times New Roman"/>
          <w:lang w:val="en-GB"/>
        </w:rPr>
        <w:t xml:space="preserve">directive </w:t>
      </w:r>
      <w:r w:rsidR="00B95D6A" w:rsidRPr="006314C9">
        <w:rPr>
          <w:rFonts w:cs="Times New Roman"/>
          <w:i/>
          <w:lang w:val="en-GB"/>
        </w:rPr>
        <w:t>(CO2 emissions from cars and vans)</w:t>
      </w:r>
      <w:r w:rsidR="004F018E" w:rsidRPr="006314C9">
        <w:rPr>
          <w:rFonts w:cs="Times New Roman"/>
          <w:lang w:val="en-GB"/>
        </w:rPr>
        <w:t xml:space="preserve"> and 2 regulations </w:t>
      </w:r>
      <w:r w:rsidR="00B95D6A" w:rsidRPr="006314C9">
        <w:rPr>
          <w:rFonts w:cs="Times New Roman"/>
          <w:i/>
          <w:lang w:val="en-GB"/>
        </w:rPr>
        <w:t>(New Passengers Cars and Light Commercial Vehicles</w:t>
      </w:r>
      <w:proofErr w:type="gramStart"/>
      <w:r w:rsidR="00B95D6A" w:rsidRPr="006314C9">
        <w:rPr>
          <w:rFonts w:cs="Times New Roman"/>
          <w:i/>
          <w:lang w:val="en-GB"/>
        </w:rPr>
        <w:t>)</w:t>
      </w:r>
      <w:r w:rsidR="007832F3" w:rsidRPr="006314C9">
        <w:rPr>
          <w:rFonts w:cs="Times New Roman"/>
          <w:lang w:val="en-GB"/>
        </w:rPr>
        <w:t>c</w:t>
      </w:r>
      <w:r w:rsidR="002F0A16" w:rsidRPr="006314C9">
        <w:rPr>
          <w:rFonts w:cs="Times New Roman"/>
          <w:lang w:val="en-GB"/>
        </w:rPr>
        <w:t>ompetent</w:t>
      </w:r>
      <w:proofErr w:type="gramEnd"/>
      <w:r w:rsidR="002F0A16" w:rsidRPr="006314C9">
        <w:rPr>
          <w:rFonts w:cs="Times New Roman"/>
          <w:lang w:val="en-GB"/>
        </w:rPr>
        <w:t xml:space="preserve"> </w:t>
      </w:r>
      <w:proofErr w:type="spellStart"/>
      <w:r w:rsidR="007832F3" w:rsidRPr="006314C9">
        <w:rPr>
          <w:rFonts w:cs="Times New Roman"/>
          <w:lang w:val="en-GB"/>
        </w:rPr>
        <w:t>a</w:t>
      </w:r>
      <w:r w:rsidR="002F0A16" w:rsidRPr="006314C9">
        <w:rPr>
          <w:rFonts w:cs="Times New Roman"/>
          <w:lang w:val="en-GB"/>
        </w:rPr>
        <w:t>uthorit</w:t>
      </w:r>
      <w:r w:rsidR="00D2520F" w:rsidRPr="006314C9">
        <w:rPr>
          <w:rFonts w:cs="Times New Roman"/>
          <w:lang w:val="en-GB"/>
        </w:rPr>
        <w:t>ies</w:t>
      </w:r>
      <w:r w:rsidR="004F018E" w:rsidRPr="006314C9">
        <w:rPr>
          <w:rFonts w:cs="Times New Roman"/>
          <w:lang w:val="en-GB"/>
        </w:rPr>
        <w:t>are</w:t>
      </w:r>
      <w:proofErr w:type="spellEnd"/>
      <w:r w:rsidR="004F018E" w:rsidRPr="006314C9">
        <w:rPr>
          <w:rFonts w:cs="Times New Roman"/>
          <w:lang w:val="en-GB"/>
        </w:rPr>
        <w:t xml:space="preserve"> not </w:t>
      </w:r>
      <w:r w:rsidR="007832F3" w:rsidRPr="006314C9">
        <w:rPr>
          <w:rFonts w:cs="Times New Roman"/>
          <w:lang w:val="en-GB"/>
        </w:rPr>
        <w:t>designated</w:t>
      </w:r>
      <w:r w:rsidR="004F018E" w:rsidRPr="006314C9">
        <w:rPr>
          <w:rFonts w:cs="Times New Roman"/>
          <w:lang w:val="en-GB"/>
        </w:rPr>
        <w:t xml:space="preserve"> and have to be clarified between MTE and MIE. For LUUCF regulation the competent authority </w:t>
      </w:r>
      <w:r w:rsidR="002F0A16" w:rsidRPr="006314C9">
        <w:rPr>
          <w:rFonts w:cs="Times New Roman"/>
          <w:lang w:val="en-GB"/>
        </w:rPr>
        <w:t>ha</w:t>
      </w:r>
      <w:r w:rsidR="007043A9" w:rsidRPr="006314C9">
        <w:rPr>
          <w:rFonts w:cs="Times New Roman"/>
          <w:lang w:val="en-GB"/>
        </w:rPr>
        <w:t>s</w:t>
      </w:r>
      <w:r w:rsidR="002F0A16" w:rsidRPr="006314C9">
        <w:rPr>
          <w:rFonts w:cs="Times New Roman"/>
          <w:lang w:val="en-GB"/>
        </w:rPr>
        <w:t xml:space="preserve"> not been decided yet</w:t>
      </w:r>
      <w:r w:rsidR="007832F3" w:rsidRPr="006314C9">
        <w:rPr>
          <w:rFonts w:cs="Times New Roman"/>
          <w:lang w:val="en-GB"/>
        </w:rPr>
        <w:t>.</w:t>
      </w:r>
    </w:p>
    <w:p w:rsidR="00B718BB" w:rsidRPr="006314C9" w:rsidRDefault="00B718BB" w:rsidP="00B27FEA">
      <w:pPr>
        <w:rPr>
          <w:rFonts w:cs="Times New Roman"/>
          <w:lang w:val="en-GB"/>
        </w:rPr>
      </w:pPr>
      <w:r w:rsidRPr="006314C9">
        <w:rPr>
          <w:rFonts w:cs="Times New Roman"/>
          <w:lang w:val="en-GB"/>
        </w:rPr>
        <w:t xml:space="preserve">In general it should be noted that there is a lack of number of people, administrative capacities, technical skills and related infrastructure required for full transposition and implementation of </w:t>
      </w:r>
      <w:r w:rsidR="00D2520F" w:rsidRPr="006314C9">
        <w:rPr>
          <w:rFonts w:cs="Times New Roman"/>
          <w:lang w:val="en-GB"/>
        </w:rPr>
        <w:t>the Chapter 27 directives</w:t>
      </w:r>
      <w:r w:rsidRPr="006314C9">
        <w:rPr>
          <w:rFonts w:cs="Times New Roman"/>
          <w:lang w:val="en-GB"/>
        </w:rPr>
        <w:t xml:space="preserve">, </w:t>
      </w:r>
      <w:r w:rsidR="00D2520F" w:rsidRPr="006314C9">
        <w:rPr>
          <w:rFonts w:cs="Times New Roman"/>
          <w:lang w:val="en-GB"/>
        </w:rPr>
        <w:t>regulations</w:t>
      </w:r>
      <w:r w:rsidRPr="006314C9">
        <w:rPr>
          <w:rFonts w:cs="Times New Roman"/>
          <w:lang w:val="en-GB"/>
        </w:rPr>
        <w:t xml:space="preserve">, </w:t>
      </w:r>
      <w:r w:rsidR="00D2520F" w:rsidRPr="006314C9">
        <w:rPr>
          <w:rFonts w:cs="Times New Roman"/>
          <w:lang w:val="en-GB"/>
        </w:rPr>
        <w:t xml:space="preserve">decisions </w:t>
      </w:r>
      <w:r w:rsidRPr="006314C9">
        <w:rPr>
          <w:rFonts w:cs="Times New Roman"/>
          <w:lang w:val="en-GB"/>
        </w:rPr>
        <w:t xml:space="preserve">and </w:t>
      </w:r>
      <w:r w:rsidR="00D2520F" w:rsidRPr="006314C9">
        <w:rPr>
          <w:rFonts w:cs="Times New Roman"/>
          <w:lang w:val="en-GB"/>
        </w:rPr>
        <w:t>recommendations.</w:t>
      </w:r>
    </w:p>
    <w:p w:rsidR="00B718BB" w:rsidRPr="006314C9" w:rsidRDefault="00B718BB" w:rsidP="007B0BC7">
      <w:pPr>
        <w:rPr>
          <w:rFonts w:cs="Times New Roman"/>
          <w:lang w:val="en-GB"/>
        </w:rPr>
      </w:pPr>
    </w:p>
    <w:p w:rsidR="00B718BB" w:rsidRPr="006314C9" w:rsidRDefault="00B718BB" w:rsidP="00152F5E">
      <w:pPr>
        <w:rPr>
          <w:rFonts w:cs="Times New Roman"/>
          <w:lang w:val="en-GB"/>
        </w:rPr>
      </w:pPr>
    </w:p>
    <w:p w:rsidR="00B718BB" w:rsidRPr="006314C9" w:rsidRDefault="00B718BB" w:rsidP="00152F5E">
      <w:pPr>
        <w:rPr>
          <w:rFonts w:cs="Times New Roman"/>
          <w:lang w:val="en-GB"/>
        </w:rPr>
      </w:pPr>
      <w:r w:rsidRPr="006314C9">
        <w:rPr>
          <w:rFonts w:cs="Times New Roman"/>
          <w:lang w:val="en-GB"/>
        </w:rPr>
        <w:br w:type="page"/>
      </w:r>
    </w:p>
    <w:p w:rsidR="00B718BB" w:rsidRPr="006314C9" w:rsidRDefault="00B718BB" w:rsidP="00152F5E">
      <w:pPr>
        <w:rPr>
          <w:rFonts w:cs="Times New Roman"/>
          <w:lang w:val="en-GB"/>
        </w:rPr>
        <w:sectPr w:rsidR="00B718BB" w:rsidRPr="006314C9" w:rsidSect="008F5A33">
          <w:footerReference w:type="even" r:id="rId11"/>
          <w:footerReference w:type="default" r:id="rId12"/>
          <w:headerReference w:type="first" r:id="rId13"/>
          <w:pgSz w:w="12240" w:h="15840"/>
          <w:pgMar w:top="1440" w:right="1440" w:bottom="1440" w:left="1440" w:header="720" w:footer="720" w:gutter="0"/>
          <w:pgNumType w:start="0"/>
          <w:cols w:space="720"/>
          <w:docGrid w:linePitch="360"/>
        </w:sectPr>
      </w:pPr>
    </w:p>
    <w:p w:rsidR="00B718BB" w:rsidRPr="006314C9" w:rsidRDefault="00B718BB" w:rsidP="00152F5E">
      <w:pPr>
        <w:rPr>
          <w:rFonts w:cs="Times New Roman"/>
          <w:lang w:val="en-GB"/>
        </w:rPr>
      </w:pPr>
    </w:p>
    <w:p w:rsidR="00B718BB" w:rsidRPr="006314C9" w:rsidRDefault="00B718BB" w:rsidP="00152F5E">
      <w:pPr>
        <w:rPr>
          <w:rFonts w:cs="Times New Roman"/>
          <w:i/>
          <w:lang w:val="en-GB"/>
        </w:rPr>
      </w:pPr>
      <w:r w:rsidRPr="006314C9">
        <w:rPr>
          <w:rFonts w:cs="Times New Roman"/>
          <w:b/>
          <w:i/>
          <w:lang w:val="en-GB"/>
        </w:rPr>
        <w:t>Summary</w:t>
      </w:r>
    </w:p>
    <w:tbl>
      <w:tblPr>
        <w:tblW w:w="5000" w:type="pct"/>
        <w:tblInd w:w="93" w:type="dxa"/>
        <w:tblLook w:val="04A0"/>
      </w:tblPr>
      <w:tblGrid>
        <w:gridCol w:w="625"/>
        <w:gridCol w:w="1368"/>
        <w:gridCol w:w="5972"/>
        <w:gridCol w:w="1730"/>
        <w:gridCol w:w="1731"/>
        <w:gridCol w:w="1750"/>
      </w:tblGrid>
      <w:tr w:rsidR="00F9537A" w:rsidRPr="006314C9" w:rsidTr="004F7E83">
        <w:trPr>
          <w:tblHeader/>
        </w:trPr>
        <w:tc>
          <w:tcPr>
            <w:tcW w:w="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590337" w:rsidRPr="006314C9" w:rsidRDefault="002F0A16" w:rsidP="00750C45">
            <w:pPr>
              <w:spacing w:beforeLines="60" w:afterLines="60"/>
              <w:jc w:val="center"/>
              <w:rPr>
                <w:rFonts w:eastAsia="Times New Roman" w:cs="Times New Roman"/>
                <w:b/>
                <w:color w:val="000000"/>
                <w:sz w:val="20"/>
                <w:szCs w:val="20"/>
                <w:lang w:val="en-GB"/>
              </w:rPr>
            </w:pPr>
            <w:r w:rsidRPr="006314C9">
              <w:rPr>
                <w:rFonts w:eastAsia="Times New Roman" w:cs="Times New Roman"/>
                <w:b/>
                <w:color w:val="000000"/>
                <w:sz w:val="20"/>
                <w:szCs w:val="20"/>
                <w:lang w:val="en-GB"/>
              </w:rPr>
              <w:t>No.</w:t>
            </w:r>
          </w:p>
        </w:tc>
        <w:tc>
          <w:tcPr>
            <w:tcW w:w="1368" w:type="dxa"/>
            <w:tcBorders>
              <w:top w:val="single" w:sz="4" w:space="0" w:color="auto"/>
              <w:left w:val="nil"/>
              <w:bottom w:val="single" w:sz="4" w:space="0" w:color="auto"/>
              <w:right w:val="single" w:sz="4" w:space="0" w:color="auto"/>
            </w:tcBorders>
            <w:shd w:val="pct12" w:color="auto" w:fill="auto"/>
            <w:vAlign w:val="center"/>
            <w:hideMark/>
          </w:tcPr>
          <w:p w:rsidR="00694EE8" w:rsidRPr="006314C9" w:rsidRDefault="002F0A16" w:rsidP="00750C45">
            <w:pPr>
              <w:spacing w:beforeLines="60" w:afterLines="60"/>
              <w:jc w:val="center"/>
              <w:rPr>
                <w:rFonts w:eastAsia="Times New Roman" w:cs="Times New Roman"/>
                <w:b/>
                <w:color w:val="000000"/>
                <w:sz w:val="20"/>
                <w:szCs w:val="20"/>
                <w:lang w:val="en-GB"/>
              </w:rPr>
            </w:pPr>
            <w:r w:rsidRPr="006314C9">
              <w:rPr>
                <w:rFonts w:eastAsia="Times New Roman" w:cs="Times New Roman"/>
                <w:b/>
                <w:color w:val="000000"/>
                <w:sz w:val="20"/>
                <w:szCs w:val="20"/>
                <w:lang w:val="en-GB"/>
              </w:rPr>
              <w:t>Subchapter</w:t>
            </w:r>
          </w:p>
        </w:tc>
        <w:tc>
          <w:tcPr>
            <w:tcW w:w="5972" w:type="dxa"/>
            <w:tcBorders>
              <w:top w:val="single" w:sz="4" w:space="0" w:color="auto"/>
              <w:left w:val="nil"/>
              <w:bottom w:val="single" w:sz="4" w:space="0" w:color="auto"/>
              <w:right w:val="single" w:sz="4" w:space="0" w:color="auto"/>
            </w:tcBorders>
            <w:shd w:val="pct12" w:color="auto" w:fill="auto"/>
            <w:vAlign w:val="center"/>
            <w:hideMark/>
          </w:tcPr>
          <w:p w:rsidR="00694EE8" w:rsidRPr="006314C9" w:rsidRDefault="002F0A16" w:rsidP="00750C45">
            <w:pPr>
              <w:spacing w:beforeLines="60" w:afterLines="60"/>
              <w:jc w:val="center"/>
              <w:rPr>
                <w:rFonts w:eastAsia="Times New Roman" w:cs="Times New Roman"/>
                <w:b/>
                <w:color w:val="000000"/>
                <w:sz w:val="20"/>
                <w:szCs w:val="20"/>
                <w:lang w:val="en-GB"/>
              </w:rPr>
            </w:pPr>
            <w:r w:rsidRPr="006314C9">
              <w:rPr>
                <w:rFonts w:eastAsia="Times New Roman" w:cs="Times New Roman"/>
                <w:b/>
                <w:color w:val="000000"/>
                <w:sz w:val="20"/>
                <w:szCs w:val="20"/>
                <w:lang w:val="en-GB"/>
              </w:rPr>
              <w:t>Name of EU Legal Act</w:t>
            </w:r>
          </w:p>
        </w:tc>
        <w:tc>
          <w:tcPr>
            <w:tcW w:w="1730" w:type="dxa"/>
            <w:tcBorders>
              <w:top w:val="single" w:sz="4" w:space="0" w:color="auto"/>
              <w:left w:val="nil"/>
              <w:bottom w:val="single" w:sz="4" w:space="0" w:color="auto"/>
              <w:right w:val="single" w:sz="4" w:space="0" w:color="auto"/>
            </w:tcBorders>
            <w:shd w:val="pct12" w:color="auto" w:fill="auto"/>
            <w:vAlign w:val="center"/>
            <w:hideMark/>
          </w:tcPr>
          <w:p w:rsidR="00694EE8" w:rsidRPr="006314C9" w:rsidRDefault="002F0A16" w:rsidP="00750C45">
            <w:pPr>
              <w:spacing w:beforeLines="60" w:afterLines="60"/>
              <w:jc w:val="center"/>
              <w:rPr>
                <w:rFonts w:eastAsia="Times New Roman" w:cs="Times New Roman"/>
                <w:b/>
                <w:color w:val="000000"/>
                <w:sz w:val="20"/>
                <w:szCs w:val="20"/>
                <w:lang w:val="en-GB"/>
              </w:rPr>
            </w:pPr>
            <w:r w:rsidRPr="006314C9">
              <w:rPr>
                <w:rFonts w:eastAsia="Times New Roman" w:cs="Times New Roman"/>
                <w:b/>
                <w:color w:val="000000"/>
                <w:sz w:val="20"/>
                <w:szCs w:val="20"/>
                <w:lang w:val="en-GB"/>
              </w:rPr>
              <w:t>Competent Authority</w:t>
            </w:r>
          </w:p>
        </w:tc>
        <w:tc>
          <w:tcPr>
            <w:tcW w:w="1731" w:type="dxa"/>
            <w:tcBorders>
              <w:top w:val="single" w:sz="4" w:space="0" w:color="auto"/>
              <w:left w:val="nil"/>
              <w:bottom w:val="single" w:sz="4" w:space="0" w:color="auto"/>
              <w:right w:val="single" w:sz="4" w:space="0" w:color="auto"/>
            </w:tcBorders>
            <w:shd w:val="pct12" w:color="auto" w:fill="auto"/>
            <w:vAlign w:val="center"/>
          </w:tcPr>
          <w:p w:rsidR="00694EE8" w:rsidRPr="006314C9" w:rsidRDefault="002F0A16" w:rsidP="00750C45">
            <w:pPr>
              <w:spacing w:beforeLines="60" w:afterLines="60"/>
              <w:jc w:val="center"/>
              <w:rPr>
                <w:rFonts w:eastAsia="Times New Roman" w:cs="Times New Roman"/>
                <w:b/>
                <w:color w:val="000000"/>
                <w:sz w:val="20"/>
                <w:szCs w:val="20"/>
                <w:lang w:val="en-GB"/>
              </w:rPr>
            </w:pPr>
            <w:r w:rsidRPr="006314C9">
              <w:rPr>
                <w:rFonts w:eastAsia="Times New Roman" w:cs="Times New Roman"/>
                <w:b/>
                <w:color w:val="000000"/>
                <w:sz w:val="20"/>
                <w:szCs w:val="20"/>
                <w:lang w:val="en-GB"/>
              </w:rPr>
              <w:t>Level of Transposition (in %)</w:t>
            </w:r>
          </w:p>
        </w:tc>
        <w:tc>
          <w:tcPr>
            <w:tcW w:w="1750" w:type="dxa"/>
            <w:tcBorders>
              <w:top w:val="single" w:sz="4" w:space="0" w:color="auto"/>
              <w:left w:val="nil"/>
              <w:bottom w:val="single" w:sz="4" w:space="0" w:color="auto"/>
              <w:right w:val="single" w:sz="4" w:space="0" w:color="auto"/>
            </w:tcBorders>
            <w:shd w:val="pct12" w:color="auto" w:fill="auto"/>
            <w:vAlign w:val="center"/>
          </w:tcPr>
          <w:p w:rsidR="00694EE8" w:rsidRPr="006314C9" w:rsidRDefault="002F0A16" w:rsidP="00750C45">
            <w:pPr>
              <w:spacing w:beforeLines="60" w:afterLines="60"/>
              <w:jc w:val="center"/>
              <w:rPr>
                <w:rFonts w:eastAsia="Times New Roman" w:cs="Times New Roman"/>
                <w:b/>
                <w:color w:val="000000"/>
                <w:sz w:val="20"/>
                <w:szCs w:val="20"/>
                <w:lang w:val="en-GB"/>
              </w:rPr>
            </w:pPr>
            <w:r w:rsidRPr="006314C9">
              <w:rPr>
                <w:rFonts w:eastAsia="Times New Roman" w:cs="Times New Roman"/>
                <w:b/>
                <w:color w:val="000000"/>
                <w:sz w:val="20"/>
                <w:szCs w:val="20"/>
                <w:lang w:val="en-GB"/>
              </w:rPr>
              <w:t>Level of Implementation</w:t>
            </w:r>
          </w:p>
        </w:tc>
      </w:tr>
      <w:tr w:rsidR="00750C45" w:rsidRPr="00750C45" w:rsidTr="00750C45">
        <w:trPr>
          <w:tblHeader/>
        </w:trPr>
        <w:tc>
          <w:tcPr>
            <w:tcW w:w="7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0C45" w:rsidRPr="00750C45" w:rsidRDefault="00750C45" w:rsidP="00750C45">
            <w:pPr>
              <w:spacing w:beforeLines="60" w:afterLines="60"/>
              <w:jc w:val="center"/>
              <w:rPr>
                <w:rFonts w:eastAsia="Times New Roman" w:cs="Times New Roman"/>
                <w:b/>
                <w:color w:val="000000"/>
                <w:sz w:val="28"/>
                <w:szCs w:val="28"/>
                <w:lang w:val="en-GB"/>
              </w:rPr>
            </w:pPr>
            <w:r w:rsidRPr="00750C45">
              <w:rPr>
                <w:rFonts w:eastAsia="Times New Roman" w:cs="Times New Roman"/>
                <w:b/>
                <w:color w:val="000000"/>
                <w:sz w:val="28"/>
                <w:szCs w:val="28"/>
                <w:lang w:val="en-GB"/>
              </w:rPr>
              <w:t xml:space="preserve">Chapter 27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750C45" w:rsidRPr="00750C45" w:rsidRDefault="00750C45" w:rsidP="00750C45">
            <w:pPr>
              <w:spacing w:beforeLines="60" w:afterLines="60"/>
              <w:jc w:val="center"/>
              <w:rPr>
                <w:rFonts w:eastAsia="Times New Roman" w:cs="Times New Roman"/>
                <w:b/>
                <w:color w:val="000000"/>
                <w:sz w:val="28"/>
                <w:szCs w:val="28"/>
                <w:lang w:val="en-GB"/>
              </w:rPr>
            </w:pPr>
            <w:r w:rsidRPr="00750C45">
              <w:rPr>
                <w:rFonts w:eastAsia="Times New Roman" w:cs="Times New Roman"/>
                <w:b/>
                <w:color w:val="000000"/>
                <w:sz w:val="28"/>
                <w:szCs w:val="28"/>
                <w:lang w:val="en-GB"/>
              </w:rPr>
              <w:t>MTE</w:t>
            </w:r>
          </w:p>
        </w:tc>
        <w:tc>
          <w:tcPr>
            <w:tcW w:w="1731" w:type="dxa"/>
            <w:tcBorders>
              <w:top w:val="single" w:sz="4" w:space="0" w:color="auto"/>
              <w:left w:val="nil"/>
              <w:bottom w:val="single" w:sz="4" w:space="0" w:color="auto"/>
              <w:right w:val="single" w:sz="4" w:space="0" w:color="auto"/>
            </w:tcBorders>
            <w:shd w:val="clear" w:color="auto" w:fill="auto"/>
            <w:vAlign w:val="center"/>
          </w:tcPr>
          <w:p w:rsidR="00750C45" w:rsidRPr="00750C45" w:rsidRDefault="00750C45" w:rsidP="00750C45">
            <w:pPr>
              <w:spacing w:beforeLines="60" w:afterLines="60"/>
              <w:jc w:val="center"/>
              <w:rPr>
                <w:rFonts w:eastAsia="Times New Roman" w:cs="Times New Roman"/>
                <w:b/>
                <w:color w:val="000000"/>
                <w:sz w:val="28"/>
                <w:szCs w:val="28"/>
                <w:lang w:val="en-GB"/>
              </w:rPr>
            </w:pPr>
            <w:r w:rsidRPr="00750C45">
              <w:rPr>
                <w:rFonts w:eastAsia="Times New Roman" w:cs="Times New Roman"/>
                <w:b/>
                <w:color w:val="000000"/>
                <w:sz w:val="28"/>
                <w:szCs w:val="28"/>
                <w:lang w:val="en-GB"/>
              </w:rPr>
              <w:t>48%</w:t>
            </w:r>
          </w:p>
        </w:tc>
        <w:tc>
          <w:tcPr>
            <w:tcW w:w="1750" w:type="dxa"/>
            <w:tcBorders>
              <w:top w:val="single" w:sz="4" w:space="0" w:color="auto"/>
              <w:left w:val="nil"/>
              <w:bottom w:val="single" w:sz="4" w:space="0" w:color="auto"/>
              <w:right w:val="single" w:sz="4" w:space="0" w:color="auto"/>
            </w:tcBorders>
            <w:shd w:val="clear" w:color="auto" w:fill="auto"/>
            <w:vAlign w:val="center"/>
          </w:tcPr>
          <w:p w:rsidR="00750C45" w:rsidRPr="00750C45" w:rsidRDefault="00750C45" w:rsidP="00750C45">
            <w:pPr>
              <w:spacing w:beforeLines="60" w:afterLines="60"/>
              <w:jc w:val="center"/>
              <w:rPr>
                <w:rFonts w:eastAsia="Times New Roman" w:cs="Times New Roman"/>
                <w:b/>
                <w:color w:val="000000"/>
                <w:sz w:val="28"/>
                <w:szCs w:val="28"/>
                <w:lang w:val="en-GB"/>
              </w:rPr>
            </w:pPr>
            <w:r w:rsidRPr="00750C45">
              <w:rPr>
                <w:rFonts w:eastAsia="Times New Roman" w:cs="Times New Roman"/>
                <w:b/>
                <w:color w:val="000000"/>
                <w:sz w:val="28"/>
                <w:szCs w:val="28"/>
                <w:lang w:val="en-GB"/>
              </w:rPr>
              <w:t>Initial Stage</w:t>
            </w:r>
          </w:p>
        </w:tc>
      </w:tr>
      <w:tr w:rsidR="00F9537A" w:rsidRPr="006314C9" w:rsidTr="004F7E83">
        <w:tc>
          <w:tcPr>
            <w:tcW w:w="7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Horizontal Legislation</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MTE</w:t>
            </w:r>
          </w:p>
        </w:tc>
        <w:tc>
          <w:tcPr>
            <w:tcW w:w="1731" w:type="dxa"/>
            <w:tcBorders>
              <w:top w:val="single" w:sz="4" w:space="0" w:color="auto"/>
              <w:left w:val="nil"/>
              <w:bottom w:val="single" w:sz="4" w:space="0" w:color="auto"/>
              <w:right w:val="single" w:sz="4" w:space="0" w:color="auto"/>
            </w:tcBorders>
            <w:shd w:val="clear" w:color="auto" w:fill="auto"/>
            <w:vAlign w:val="center"/>
          </w:tcPr>
          <w:p w:rsidR="00694EE8"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78.6</w:t>
            </w:r>
          </w:p>
        </w:tc>
        <w:tc>
          <w:tcPr>
            <w:tcW w:w="1750" w:type="dxa"/>
            <w:tcBorders>
              <w:top w:val="single" w:sz="4" w:space="0" w:color="auto"/>
              <w:left w:val="nil"/>
              <w:bottom w:val="single" w:sz="4" w:space="0" w:color="auto"/>
              <w:right w:val="single" w:sz="4" w:space="0" w:color="auto"/>
            </w:tcBorders>
            <w:shd w:val="clear" w:color="auto" w:fill="auto"/>
            <w:vAlign w:val="center"/>
          </w:tcPr>
          <w:p w:rsidR="00694EE8" w:rsidRPr="006314C9" w:rsidRDefault="00694EE8" w:rsidP="00750C45">
            <w:pPr>
              <w:spacing w:beforeLines="60" w:afterLines="60"/>
              <w:jc w:val="center"/>
              <w:rPr>
                <w:rFonts w:eastAsia="Times New Roman" w:cs="Times New Roman"/>
                <w:b/>
                <w:color w:val="000000"/>
                <w:sz w:val="24"/>
                <w:szCs w:val="24"/>
                <w:lang w:val="en-GB"/>
              </w:rPr>
            </w:pPr>
          </w:p>
        </w:tc>
      </w:tr>
      <w:tr w:rsidR="00F9537A" w:rsidRPr="006314C9" w:rsidTr="004F7E83">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Horizontal</w:t>
            </w:r>
          </w:p>
        </w:tc>
        <w:tc>
          <w:tcPr>
            <w:tcW w:w="5972" w:type="dxa"/>
            <w:tcBorders>
              <w:top w:val="single" w:sz="4" w:space="0" w:color="auto"/>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2011/92/EU </w:t>
            </w:r>
            <w:r w:rsidR="00B95D6A" w:rsidRPr="006314C9">
              <w:rPr>
                <w:rFonts w:eastAsia="Times New Roman" w:cs="Times New Roman"/>
                <w:b/>
                <w:i/>
                <w:color w:val="000000"/>
                <w:sz w:val="20"/>
                <w:szCs w:val="20"/>
                <w:lang w:val="en-GB"/>
              </w:rPr>
              <w:t>EIA</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88479E" w:rsidRPr="006314C9" w:rsidRDefault="00CF4A85"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single" w:sz="4" w:space="0" w:color="auto"/>
              <w:left w:val="nil"/>
              <w:bottom w:val="single" w:sz="4" w:space="0" w:color="auto"/>
              <w:right w:val="single" w:sz="4" w:space="0" w:color="auto"/>
            </w:tcBorders>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82</w:t>
            </w:r>
          </w:p>
        </w:tc>
        <w:tc>
          <w:tcPr>
            <w:tcW w:w="1750" w:type="dxa"/>
            <w:tcBorders>
              <w:top w:val="single" w:sz="4" w:space="0" w:color="auto"/>
              <w:left w:val="nil"/>
              <w:bottom w:val="single" w:sz="4" w:space="0" w:color="auto"/>
              <w:right w:val="single" w:sz="4" w:space="0" w:color="auto"/>
            </w:tcBorders>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Advanced </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2</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Horizontal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2001/42/EC </w:t>
            </w:r>
            <w:r w:rsidR="00B95D6A" w:rsidRPr="006314C9">
              <w:rPr>
                <w:rFonts w:eastAsia="Times New Roman" w:cs="Times New Roman"/>
                <w:b/>
                <w:i/>
                <w:color w:val="000000"/>
                <w:sz w:val="20"/>
                <w:szCs w:val="20"/>
                <w:lang w:val="en-GB"/>
              </w:rPr>
              <w:t>SEA</w:t>
            </w:r>
          </w:p>
        </w:tc>
        <w:tc>
          <w:tcPr>
            <w:tcW w:w="1730"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100</w:t>
            </w:r>
          </w:p>
        </w:tc>
        <w:tc>
          <w:tcPr>
            <w:tcW w:w="1750" w:type="dxa"/>
            <w:tcBorders>
              <w:top w:val="nil"/>
              <w:left w:val="nil"/>
              <w:bottom w:val="single" w:sz="4" w:space="0" w:color="auto"/>
              <w:right w:val="single" w:sz="4" w:space="0" w:color="auto"/>
            </w:tcBorders>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Advanced </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3</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Horizontal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2003/4/EC </w:t>
            </w:r>
            <w:r w:rsidR="00B95D6A" w:rsidRPr="006314C9">
              <w:rPr>
                <w:rFonts w:eastAsia="Times New Roman" w:cs="Times New Roman"/>
                <w:b/>
                <w:i/>
                <w:color w:val="000000"/>
                <w:sz w:val="20"/>
                <w:szCs w:val="20"/>
                <w:lang w:val="en-GB"/>
              </w:rPr>
              <w:t>Access to Information</w:t>
            </w:r>
          </w:p>
        </w:tc>
        <w:tc>
          <w:tcPr>
            <w:tcW w:w="1730"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100</w:t>
            </w:r>
          </w:p>
        </w:tc>
        <w:tc>
          <w:tcPr>
            <w:tcW w:w="1750" w:type="dxa"/>
            <w:tcBorders>
              <w:top w:val="nil"/>
              <w:left w:val="nil"/>
              <w:bottom w:val="single" w:sz="4" w:space="0" w:color="auto"/>
              <w:right w:val="single" w:sz="4" w:space="0" w:color="auto"/>
            </w:tcBorders>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Advanced </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4</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Horizontal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2003/35/EC </w:t>
            </w:r>
            <w:r w:rsidR="00B95D6A" w:rsidRPr="006314C9">
              <w:rPr>
                <w:rFonts w:eastAsia="Times New Roman" w:cs="Times New Roman"/>
                <w:b/>
                <w:i/>
                <w:color w:val="000000"/>
                <w:sz w:val="20"/>
                <w:szCs w:val="20"/>
                <w:lang w:val="en-GB"/>
              </w:rPr>
              <w:t>Public Participation</w:t>
            </w:r>
          </w:p>
        </w:tc>
        <w:tc>
          <w:tcPr>
            <w:tcW w:w="1730"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100</w:t>
            </w:r>
          </w:p>
        </w:tc>
        <w:tc>
          <w:tcPr>
            <w:tcW w:w="1750" w:type="dxa"/>
            <w:tcBorders>
              <w:top w:val="nil"/>
              <w:left w:val="nil"/>
              <w:bottom w:val="single" w:sz="4" w:space="0" w:color="auto"/>
              <w:right w:val="single" w:sz="4" w:space="0" w:color="auto"/>
            </w:tcBorders>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Advanced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5</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Horizontal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 2004/35/</w:t>
            </w:r>
            <w:proofErr w:type="spellStart"/>
            <w:r w:rsidRPr="006314C9">
              <w:rPr>
                <w:rFonts w:eastAsia="Times New Roman" w:cs="Times New Roman"/>
                <w:color w:val="000000"/>
                <w:sz w:val="20"/>
                <w:szCs w:val="20"/>
                <w:lang w:val="en-GB"/>
              </w:rPr>
              <w:t>EC</w:t>
            </w:r>
            <w:r w:rsidR="00B95D6A" w:rsidRPr="006314C9">
              <w:rPr>
                <w:rFonts w:eastAsia="Times New Roman" w:cs="Times New Roman"/>
                <w:b/>
                <w:i/>
                <w:color w:val="000000"/>
                <w:sz w:val="20"/>
                <w:szCs w:val="20"/>
                <w:lang w:val="en-GB"/>
              </w:rPr>
              <w:t>Environmental</w:t>
            </w:r>
            <w:proofErr w:type="spellEnd"/>
            <w:r w:rsidR="00B95D6A" w:rsidRPr="006314C9">
              <w:rPr>
                <w:rFonts w:eastAsia="Times New Roman" w:cs="Times New Roman"/>
                <w:b/>
                <w:i/>
                <w:color w:val="000000"/>
                <w:sz w:val="20"/>
                <w:szCs w:val="20"/>
                <w:lang w:val="en-GB"/>
              </w:rPr>
              <w:t xml:space="preserve"> Liability</w:t>
            </w:r>
          </w:p>
        </w:tc>
        <w:tc>
          <w:tcPr>
            <w:tcW w:w="1730"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28</w:t>
            </w:r>
          </w:p>
        </w:tc>
        <w:tc>
          <w:tcPr>
            <w:tcW w:w="1750" w:type="dxa"/>
            <w:tcBorders>
              <w:top w:val="nil"/>
              <w:left w:val="nil"/>
              <w:bottom w:val="single" w:sz="4" w:space="0" w:color="auto"/>
              <w:right w:val="single" w:sz="4" w:space="0" w:color="auto"/>
            </w:tcBorders>
            <w:vAlign w:val="center"/>
          </w:tcPr>
          <w:p w:rsidR="001970C3" w:rsidRPr="006314C9" w:rsidRDefault="00D62A22"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6</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Horizontal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2007/2/EC </w:t>
            </w:r>
            <w:r w:rsidR="00B95D6A" w:rsidRPr="006314C9">
              <w:rPr>
                <w:rFonts w:eastAsia="Times New Roman" w:cs="Times New Roman"/>
                <w:b/>
                <w:bCs/>
                <w:i/>
                <w:color w:val="000000"/>
                <w:sz w:val="20"/>
                <w:szCs w:val="20"/>
                <w:lang w:val="en-GB"/>
              </w:rPr>
              <w:t>INSPIRE</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State Authority for Geospatial Information (ASIG)</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92</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3F336C"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7</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Horizontal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2001/331/EC </w:t>
            </w:r>
            <w:r w:rsidR="00B95D6A" w:rsidRPr="006314C9">
              <w:rPr>
                <w:rFonts w:eastAsia="Times New Roman" w:cs="Times New Roman"/>
                <w:b/>
                <w:i/>
                <w:color w:val="000000"/>
                <w:sz w:val="20"/>
                <w:szCs w:val="20"/>
                <w:lang w:val="en-GB"/>
              </w:rPr>
              <w:t>RMCEI</w:t>
            </w:r>
          </w:p>
        </w:tc>
        <w:tc>
          <w:tcPr>
            <w:tcW w:w="1730" w:type="dxa"/>
            <w:tcBorders>
              <w:top w:val="nil"/>
              <w:left w:val="nil"/>
              <w:bottom w:val="single" w:sz="4" w:space="0" w:color="auto"/>
              <w:right w:val="single" w:sz="4" w:space="0" w:color="auto"/>
            </w:tcBorders>
            <w:shd w:val="clear" w:color="000000" w:fill="FFFFFF"/>
            <w:vAlign w:val="center"/>
            <w:hideMark/>
          </w:tcPr>
          <w:p w:rsidR="00590337"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State Inspectorate of </w:t>
            </w:r>
            <w:r w:rsidR="00CF4A85" w:rsidRPr="006314C9">
              <w:rPr>
                <w:rFonts w:eastAsia="Times New Roman" w:cs="Times New Roman"/>
                <w:color w:val="000000"/>
                <w:sz w:val="20"/>
                <w:szCs w:val="20"/>
                <w:lang w:val="en-GB"/>
              </w:rPr>
              <w:t>Environment</w:t>
            </w:r>
            <w:r w:rsidRPr="006314C9">
              <w:rPr>
                <w:rFonts w:eastAsia="Times New Roman" w:cs="Times New Roman"/>
                <w:color w:val="000000"/>
                <w:sz w:val="20"/>
                <w:szCs w:val="20"/>
                <w:lang w:val="en-GB"/>
              </w:rPr>
              <w:t>, Forestry, Water and Tourism (SIEFWT)</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62</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ED52AF" w:rsidP="00750C45">
            <w:pPr>
              <w:spacing w:beforeLines="60" w:afterLines="60"/>
              <w:jc w:val="center"/>
              <w:rPr>
                <w:rFonts w:eastAsia="Times New Roman" w:cs="Times New Roman"/>
                <w:color w:val="000000"/>
                <w:sz w:val="20"/>
                <w:szCs w:val="20"/>
                <w:lang w:val="en-GB"/>
              </w:rPr>
            </w:pPr>
            <w:r w:rsidRPr="006314C9">
              <w:rPr>
                <w:rFonts w:cs="Times New Roman"/>
                <w:sz w:val="20"/>
                <w:szCs w:val="20"/>
                <w:lang w:val="en-GB"/>
              </w:rPr>
              <w:t>Partly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8</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Horizontal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2008/99/EC </w:t>
            </w:r>
            <w:r w:rsidR="00B95D6A" w:rsidRPr="006314C9">
              <w:rPr>
                <w:rFonts w:eastAsia="Times New Roman" w:cs="Times New Roman"/>
                <w:b/>
                <w:i/>
                <w:color w:val="000000"/>
                <w:sz w:val="20"/>
                <w:szCs w:val="20"/>
                <w:lang w:val="en-GB"/>
              </w:rPr>
              <w:t>Environmental Crime</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65</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Not </w:t>
            </w:r>
            <w:r w:rsidR="00D62A22" w:rsidRPr="006314C9">
              <w:rPr>
                <w:rFonts w:eastAsia="Times New Roman" w:cs="Times New Roman"/>
                <w:color w:val="000000"/>
                <w:sz w:val="20"/>
                <w:szCs w:val="20"/>
                <w:lang w:val="en-GB"/>
              </w:rPr>
              <w:t>implemented</w:t>
            </w:r>
          </w:p>
        </w:tc>
      </w:tr>
      <w:tr w:rsidR="00F9537A" w:rsidRPr="006314C9" w:rsidTr="004F7E83">
        <w:tc>
          <w:tcPr>
            <w:tcW w:w="7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Air Quality</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MTE</w:t>
            </w:r>
          </w:p>
        </w:tc>
        <w:tc>
          <w:tcPr>
            <w:tcW w:w="1731" w:type="dxa"/>
            <w:tcBorders>
              <w:top w:val="single" w:sz="4" w:space="0" w:color="auto"/>
              <w:left w:val="nil"/>
              <w:bottom w:val="single" w:sz="4" w:space="0" w:color="auto"/>
              <w:right w:val="single" w:sz="4" w:space="0" w:color="auto"/>
            </w:tcBorders>
            <w:shd w:val="clear" w:color="auto" w:fill="auto"/>
            <w:vAlign w:val="center"/>
          </w:tcPr>
          <w:p w:rsidR="001970C3"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66.8</w:t>
            </w:r>
          </w:p>
        </w:tc>
        <w:tc>
          <w:tcPr>
            <w:tcW w:w="1750" w:type="dxa"/>
            <w:tcBorders>
              <w:top w:val="single" w:sz="4" w:space="0" w:color="auto"/>
              <w:left w:val="nil"/>
              <w:bottom w:val="single" w:sz="4" w:space="0" w:color="auto"/>
              <w:right w:val="single" w:sz="4" w:space="0" w:color="auto"/>
            </w:tcBorders>
            <w:shd w:val="clear" w:color="auto" w:fill="auto"/>
            <w:vAlign w:val="center"/>
          </w:tcPr>
          <w:p w:rsidR="00694EE8" w:rsidRPr="006314C9" w:rsidRDefault="00694EE8" w:rsidP="00750C45">
            <w:pPr>
              <w:spacing w:beforeLines="60" w:afterLines="60"/>
              <w:jc w:val="center"/>
              <w:rPr>
                <w:rFonts w:eastAsia="Times New Roman" w:cs="Times New Roman"/>
                <w:b/>
                <w:color w:val="000000"/>
                <w:sz w:val="24"/>
                <w:szCs w:val="24"/>
                <w:lang w:val="en-GB"/>
              </w:rPr>
            </w:pP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lastRenderedPageBreak/>
              <w:t>9</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Air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E 2008/50/EC </w:t>
            </w:r>
            <w:r w:rsidR="00B95D6A" w:rsidRPr="006314C9">
              <w:rPr>
                <w:rFonts w:cs="Times New Roman"/>
                <w:b/>
                <w:i/>
                <w:color w:val="000000"/>
                <w:sz w:val="20"/>
                <w:szCs w:val="20"/>
                <w:lang w:val="en-GB"/>
              </w:rPr>
              <w:t>AAQ</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96</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51251F"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10</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Air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 2016/2284</w:t>
            </w:r>
            <w:r w:rsidR="00CB606A" w:rsidRPr="006314C9">
              <w:rPr>
                <w:rFonts w:cs="Times New Roman"/>
                <w:color w:val="000000"/>
                <w:sz w:val="20"/>
                <w:szCs w:val="20"/>
                <w:lang w:val="en-GB"/>
              </w:rPr>
              <w:t>/EC</w:t>
            </w:r>
            <w:r w:rsidR="00B95D6A" w:rsidRPr="006314C9">
              <w:rPr>
                <w:rFonts w:cs="Times New Roman"/>
                <w:b/>
                <w:i/>
                <w:color w:val="000000"/>
                <w:sz w:val="20"/>
                <w:szCs w:val="20"/>
                <w:lang w:val="en-GB"/>
              </w:rPr>
              <w:t>NEC</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63DC"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NEA</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20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51251F"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11</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Air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2016/802</w:t>
            </w:r>
            <w:r w:rsidR="00CB606A" w:rsidRPr="006314C9">
              <w:rPr>
                <w:rFonts w:cs="Times New Roman"/>
                <w:color w:val="000000"/>
                <w:sz w:val="20"/>
                <w:szCs w:val="20"/>
                <w:lang w:val="en-GB"/>
              </w:rPr>
              <w:t xml:space="preserve">/EC </w:t>
            </w:r>
            <w:r w:rsidR="00B95D6A" w:rsidRPr="006314C9">
              <w:rPr>
                <w:rFonts w:cs="Times New Roman"/>
                <w:b/>
                <w:i/>
                <w:color w:val="000000"/>
                <w:sz w:val="20"/>
                <w:szCs w:val="20"/>
                <w:lang w:val="en-GB"/>
              </w:rPr>
              <w:t>Sulphur Content</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Ministry of Infrastructure and Energy (MIE</w:t>
            </w:r>
            <w:r w:rsidR="0088479E" w:rsidRPr="006314C9">
              <w:rPr>
                <w:rFonts w:eastAsia="Times New Roman" w:cs="Times New Roman"/>
                <w:color w:val="000000"/>
                <w:sz w:val="20"/>
                <w:szCs w:val="20"/>
                <w:lang w:val="en-GB"/>
              </w:rPr>
              <w:t>)</w:t>
            </w:r>
            <w:proofErr w:type="spellStart"/>
            <w:r w:rsidR="00B963DC" w:rsidRPr="006314C9">
              <w:rPr>
                <w:rFonts w:eastAsia="Times New Roman" w:cs="Times New Roman"/>
                <w:color w:val="000000"/>
                <w:sz w:val="20"/>
                <w:szCs w:val="20"/>
                <w:lang w:val="en-GB"/>
              </w:rPr>
              <w:t>but</w:t>
            </w:r>
            <w:r w:rsidR="00F0450C" w:rsidRPr="00F0450C">
              <w:rPr>
                <w:rFonts w:eastAsia="Times New Roman" w:cs="Times New Roman"/>
                <w:color w:val="000000"/>
                <w:sz w:val="20"/>
                <w:szCs w:val="20"/>
                <w:lang w:val="en-GB"/>
              </w:rPr>
              <w:t>not</w:t>
            </w:r>
            <w:proofErr w:type="spellEnd"/>
            <w:r w:rsidR="00F0450C" w:rsidRPr="00F0450C">
              <w:rPr>
                <w:rFonts w:eastAsia="Times New Roman" w:cs="Times New Roman"/>
                <w:color w:val="000000"/>
                <w:sz w:val="20"/>
                <w:szCs w:val="20"/>
                <w:lang w:val="en-GB"/>
              </w:rPr>
              <w:t xml:space="preserve"> completely defined</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18</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51251F"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12</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Air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94/63/EC </w:t>
            </w:r>
            <w:r w:rsidR="00B95D6A" w:rsidRPr="006314C9">
              <w:rPr>
                <w:rFonts w:cs="Times New Roman"/>
                <w:b/>
                <w:i/>
                <w:color w:val="000000"/>
                <w:sz w:val="20"/>
                <w:szCs w:val="20"/>
                <w:lang w:val="en-GB"/>
              </w:rPr>
              <w:t>VOCs petrol</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88479E"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r w:rsidR="00B963DC" w:rsidRPr="006314C9">
              <w:rPr>
                <w:rFonts w:eastAsia="Times New Roman" w:cs="Times New Roman"/>
                <w:color w:val="000000"/>
                <w:sz w:val="20"/>
                <w:szCs w:val="20"/>
                <w:lang w:val="en-GB"/>
              </w:rPr>
              <w:t xml:space="preserve"> but</w:t>
            </w:r>
            <w:r w:rsidR="00F0450C" w:rsidRPr="00F0450C">
              <w:rPr>
                <w:rFonts w:eastAsia="Times New Roman" w:cs="Times New Roman"/>
                <w:color w:val="000000"/>
                <w:sz w:val="20"/>
                <w:szCs w:val="20"/>
                <w:lang w:val="en-GB"/>
              </w:rPr>
              <w:t xml:space="preserve"> not completely defined</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100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51251F"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13</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Air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2009/126/EC </w:t>
            </w:r>
            <w:r w:rsidR="00B95D6A" w:rsidRPr="006314C9">
              <w:rPr>
                <w:rFonts w:cs="Times New Roman"/>
                <w:b/>
                <w:i/>
                <w:color w:val="000000"/>
                <w:sz w:val="20"/>
                <w:szCs w:val="20"/>
                <w:lang w:val="en-GB"/>
              </w:rPr>
              <w:t>Stage II VOCs petrol</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88479E" w:rsidP="00750C45">
            <w:pPr>
              <w:spacing w:beforeLines="60" w:afterLines="60"/>
              <w:jc w:val="center"/>
              <w:rPr>
                <w:rFonts w:eastAsia="Times New Roman" w:cs="Times New Roman"/>
                <w:color w:val="000000"/>
                <w:sz w:val="20"/>
                <w:szCs w:val="20"/>
                <w:lang w:val="en-GB"/>
              </w:rPr>
            </w:pPr>
            <w:proofErr w:type="spellStart"/>
            <w:r w:rsidRPr="006314C9">
              <w:rPr>
                <w:rFonts w:eastAsia="Times New Roman" w:cs="Times New Roman"/>
                <w:color w:val="000000"/>
                <w:sz w:val="20"/>
                <w:szCs w:val="20"/>
                <w:lang w:val="en-GB"/>
              </w:rPr>
              <w:t>MTE</w:t>
            </w:r>
            <w:r w:rsidR="00F0450C" w:rsidRPr="00F0450C">
              <w:rPr>
                <w:rFonts w:eastAsia="Times New Roman" w:cs="Times New Roman"/>
                <w:color w:val="000000"/>
                <w:sz w:val="20"/>
                <w:szCs w:val="20"/>
                <w:lang w:val="en-GB"/>
              </w:rPr>
              <w:t>but</w:t>
            </w:r>
            <w:proofErr w:type="spellEnd"/>
            <w:r w:rsidR="00F0450C" w:rsidRPr="00F0450C">
              <w:rPr>
                <w:rFonts w:eastAsia="Times New Roman" w:cs="Times New Roman"/>
                <w:color w:val="000000"/>
                <w:sz w:val="20"/>
                <w:szCs w:val="20"/>
                <w:lang w:val="en-GB"/>
              </w:rPr>
              <w:t xml:space="preserve"> not completely defined</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100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51251F"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7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b/>
                <w:color w:val="000000"/>
                <w:sz w:val="24"/>
                <w:szCs w:val="24"/>
                <w:lang w:val="en-GB"/>
              </w:rPr>
            </w:pPr>
            <w:r w:rsidRPr="006314C9">
              <w:rPr>
                <w:rFonts w:cs="Times New Roman"/>
                <w:b/>
                <w:color w:val="000000"/>
                <w:sz w:val="24"/>
                <w:szCs w:val="24"/>
                <w:lang w:val="en-GB"/>
              </w:rPr>
              <w:t>Waste Management</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MTE</w:t>
            </w:r>
          </w:p>
        </w:tc>
        <w:tc>
          <w:tcPr>
            <w:tcW w:w="1731" w:type="dxa"/>
            <w:tcBorders>
              <w:top w:val="single" w:sz="4" w:space="0" w:color="auto"/>
              <w:left w:val="nil"/>
              <w:bottom w:val="single" w:sz="4" w:space="0" w:color="auto"/>
              <w:right w:val="single" w:sz="4" w:space="0" w:color="auto"/>
            </w:tcBorders>
            <w:shd w:val="clear" w:color="auto" w:fill="auto"/>
            <w:vAlign w:val="center"/>
          </w:tcPr>
          <w:p w:rsidR="001970C3"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53.</w:t>
            </w:r>
            <w:r w:rsidR="00012113" w:rsidRPr="006314C9">
              <w:rPr>
                <w:rFonts w:eastAsia="Times New Roman" w:cs="Times New Roman"/>
                <w:b/>
                <w:color w:val="000000"/>
                <w:sz w:val="24"/>
                <w:szCs w:val="24"/>
                <w:lang w:val="en-GB"/>
              </w:rPr>
              <w:t>5</w:t>
            </w:r>
          </w:p>
        </w:tc>
        <w:tc>
          <w:tcPr>
            <w:tcW w:w="1750" w:type="dxa"/>
            <w:tcBorders>
              <w:top w:val="single" w:sz="4" w:space="0" w:color="auto"/>
              <w:left w:val="nil"/>
              <w:bottom w:val="single" w:sz="4" w:space="0" w:color="auto"/>
              <w:right w:val="single" w:sz="4" w:space="0" w:color="auto"/>
            </w:tcBorders>
            <w:shd w:val="clear" w:color="auto" w:fill="auto"/>
            <w:vAlign w:val="center"/>
          </w:tcPr>
          <w:p w:rsidR="00694EE8" w:rsidRPr="006314C9" w:rsidRDefault="00694EE8" w:rsidP="00750C45">
            <w:pPr>
              <w:spacing w:beforeLines="60" w:afterLines="60"/>
              <w:jc w:val="center"/>
              <w:rPr>
                <w:rFonts w:eastAsia="Times New Roman" w:cs="Times New Roman"/>
                <w:b/>
                <w:color w:val="000000"/>
                <w:sz w:val="24"/>
                <w:szCs w:val="24"/>
                <w:lang w:val="en-GB"/>
              </w:rPr>
            </w:pP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14</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Waste Management</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E 2008/98/EC </w:t>
            </w:r>
            <w:r w:rsidR="00B95D6A" w:rsidRPr="006314C9">
              <w:rPr>
                <w:rFonts w:cs="Times New Roman"/>
                <w:b/>
                <w:i/>
                <w:color w:val="000000"/>
                <w:sz w:val="20"/>
                <w:szCs w:val="20"/>
                <w:lang w:val="en-GB"/>
              </w:rPr>
              <w:t>Waste Framework</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34</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51251F"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15</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Waste Management</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86/278/EEC </w:t>
            </w:r>
            <w:r w:rsidR="00B95D6A" w:rsidRPr="006314C9">
              <w:rPr>
                <w:rFonts w:cs="Times New Roman"/>
                <w:b/>
                <w:color w:val="000000"/>
                <w:sz w:val="20"/>
                <w:szCs w:val="20"/>
                <w:lang w:val="en-GB"/>
              </w:rPr>
              <w:t>Sewage Sludge</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Ministry of </w:t>
            </w:r>
            <w:r w:rsidR="00F0450C" w:rsidRPr="006314C9">
              <w:rPr>
                <w:rFonts w:eastAsia="Times New Roman" w:cs="Times New Roman"/>
                <w:color w:val="000000"/>
                <w:sz w:val="20"/>
                <w:szCs w:val="20"/>
                <w:lang w:val="en-GB"/>
              </w:rPr>
              <w:t>Agriculture</w:t>
            </w:r>
            <w:r w:rsidRPr="006314C9">
              <w:rPr>
                <w:rFonts w:eastAsia="Times New Roman" w:cs="Times New Roman"/>
                <w:color w:val="000000"/>
                <w:sz w:val="20"/>
                <w:szCs w:val="20"/>
                <w:lang w:val="en-GB"/>
              </w:rPr>
              <w:t xml:space="preserve"> and Rural Development (MARD</w:t>
            </w:r>
            <w:r w:rsidR="00F9537A" w:rsidRPr="006314C9">
              <w:rPr>
                <w:rFonts w:eastAsia="Times New Roman" w:cs="Times New Roman"/>
                <w:color w:val="000000"/>
                <w:sz w:val="20"/>
                <w:szCs w:val="20"/>
                <w:lang w:val="en-GB"/>
              </w:rPr>
              <w:t>)</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100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51251F"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lastRenderedPageBreak/>
              <w:t>16</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Waste Management</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2006/66/EC </w:t>
            </w:r>
            <w:r w:rsidR="00B95D6A" w:rsidRPr="006314C9">
              <w:rPr>
                <w:rFonts w:cs="Times New Roman"/>
                <w:b/>
                <w:i/>
                <w:color w:val="000000"/>
                <w:sz w:val="20"/>
                <w:szCs w:val="20"/>
                <w:lang w:val="en-GB"/>
              </w:rPr>
              <w:t>Batteries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82</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51251F"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17</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Waste Management</w:t>
            </w:r>
          </w:p>
        </w:tc>
        <w:tc>
          <w:tcPr>
            <w:tcW w:w="5972" w:type="dxa"/>
            <w:tcBorders>
              <w:top w:val="nil"/>
              <w:left w:val="nil"/>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94/62/EC </w:t>
            </w:r>
            <w:r w:rsidR="00B95D6A" w:rsidRPr="006314C9">
              <w:rPr>
                <w:rFonts w:cs="Times New Roman"/>
                <w:b/>
                <w:i/>
                <w:color w:val="000000"/>
                <w:sz w:val="20"/>
                <w:szCs w:val="20"/>
                <w:lang w:val="en-GB"/>
              </w:rPr>
              <w:t>Packaging</w:t>
            </w:r>
          </w:p>
        </w:tc>
        <w:tc>
          <w:tcPr>
            <w:tcW w:w="1730" w:type="dxa"/>
            <w:tcBorders>
              <w:top w:val="nil"/>
              <w:left w:val="nil"/>
              <w:bottom w:val="single" w:sz="4" w:space="0" w:color="auto"/>
              <w:right w:val="single" w:sz="4" w:space="0" w:color="auto"/>
            </w:tcBorders>
            <w:shd w:val="clear" w:color="000000" w:fill="FFFFFF"/>
            <w:vAlign w:val="center"/>
            <w:hideMark/>
          </w:tcPr>
          <w:p w:rsidR="001970C3"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81</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51251F"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18</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Waste Management</w:t>
            </w:r>
          </w:p>
        </w:tc>
        <w:tc>
          <w:tcPr>
            <w:tcW w:w="5972" w:type="dxa"/>
            <w:tcBorders>
              <w:top w:val="nil"/>
              <w:left w:val="nil"/>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96/59/EC </w:t>
            </w:r>
            <w:r w:rsidR="00B95D6A" w:rsidRPr="006314C9">
              <w:rPr>
                <w:rFonts w:cs="Times New Roman"/>
                <w:b/>
                <w:i/>
                <w:color w:val="000000"/>
                <w:sz w:val="20"/>
                <w:szCs w:val="20"/>
                <w:lang w:val="en-GB"/>
              </w:rPr>
              <w:t>PCB/PCT</w:t>
            </w:r>
          </w:p>
        </w:tc>
        <w:tc>
          <w:tcPr>
            <w:tcW w:w="1730" w:type="dxa"/>
            <w:tcBorders>
              <w:top w:val="nil"/>
              <w:left w:val="nil"/>
              <w:bottom w:val="single" w:sz="4" w:space="0" w:color="auto"/>
              <w:right w:val="single" w:sz="4" w:space="0" w:color="auto"/>
            </w:tcBorders>
            <w:shd w:val="clear" w:color="000000" w:fill="FFFFFF"/>
            <w:vAlign w:val="center"/>
            <w:hideMark/>
          </w:tcPr>
          <w:p w:rsidR="001970C3"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87</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3B49CA"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19</w:t>
            </w:r>
          </w:p>
        </w:tc>
        <w:tc>
          <w:tcPr>
            <w:tcW w:w="1368" w:type="dxa"/>
            <w:tcBorders>
              <w:top w:val="nil"/>
              <w:left w:val="nil"/>
              <w:bottom w:val="single" w:sz="4" w:space="0" w:color="auto"/>
              <w:right w:val="single" w:sz="4" w:space="0" w:color="auto"/>
            </w:tcBorders>
            <w:shd w:val="clear" w:color="auto" w:fill="auto"/>
            <w:vAlign w:val="center"/>
            <w:hideMark/>
          </w:tcPr>
          <w:p w:rsidR="001970C3"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Waste Management </w:t>
            </w:r>
            <w:r w:rsidRPr="006314C9">
              <w:rPr>
                <w:rFonts w:cs="Times New Roman"/>
                <w:color w:val="000000"/>
                <w:sz w:val="20"/>
                <w:szCs w:val="20"/>
                <w:lang w:val="en-GB"/>
              </w:rPr>
              <w:br/>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850/2004/EC </w:t>
            </w:r>
            <w:r w:rsidRPr="006314C9">
              <w:rPr>
                <w:rFonts w:cs="Times New Roman"/>
                <w:b/>
                <w:i/>
                <w:color w:val="000000"/>
                <w:sz w:val="20"/>
                <w:szCs w:val="20"/>
                <w:lang w:val="en-GB"/>
              </w:rPr>
              <w:t>POPs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58</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Initial stage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20</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Waste Management</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2000/53/EC </w:t>
            </w:r>
            <w:r w:rsidR="00B95D6A" w:rsidRPr="006314C9">
              <w:rPr>
                <w:rFonts w:cs="Times New Roman"/>
                <w:b/>
                <w:i/>
                <w:color w:val="000000"/>
                <w:sz w:val="20"/>
                <w:szCs w:val="20"/>
                <w:lang w:val="en-GB"/>
              </w:rPr>
              <w:t>ELVs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74</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51251F"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21</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Waste Management</w:t>
            </w:r>
          </w:p>
        </w:tc>
        <w:tc>
          <w:tcPr>
            <w:tcW w:w="5972" w:type="dxa"/>
            <w:tcBorders>
              <w:top w:val="nil"/>
              <w:left w:val="nil"/>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2011/65/EU </w:t>
            </w:r>
            <w:proofErr w:type="spellStart"/>
            <w:r w:rsidR="00B95D6A" w:rsidRPr="006314C9">
              <w:rPr>
                <w:rFonts w:cs="Times New Roman"/>
                <w:b/>
                <w:i/>
                <w:color w:val="000000"/>
                <w:sz w:val="20"/>
                <w:szCs w:val="20"/>
                <w:lang w:val="en-GB"/>
              </w:rPr>
              <w:t>RoHS</w:t>
            </w:r>
            <w:proofErr w:type="spellEnd"/>
            <w:r w:rsidR="00B95D6A" w:rsidRPr="006314C9">
              <w:rPr>
                <w:rFonts w:cs="Times New Roman"/>
                <w:b/>
                <w:i/>
                <w:color w:val="000000"/>
                <w:sz w:val="20"/>
                <w:szCs w:val="20"/>
                <w:lang w:val="en-GB"/>
              </w:rPr>
              <w:t>(recast)</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3</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Not </w:t>
            </w:r>
            <w:r w:rsidR="00935692" w:rsidRPr="006314C9">
              <w:rPr>
                <w:rFonts w:eastAsia="Times New Roman" w:cs="Times New Roman"/>
                <w:color w:val="000000"/>
                <w:sz w:val="20"/>
                <w:szCs w:val="20"/>
                <w:lang w:val="en-GB"/>
              </w:rPr>
              <w:t>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22</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Waste Management</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2012/19/EU </w:t>
            </w:r>
            <w:r w:rsidR="00B95D6A" w:rsidRPr="006314C9">
              <w:rPr>
                <w:rFonts w:cs="Times New Roman"/>
                <w:b/>
                <w:i/>
                <w:color w:val="000000"/>
                <w:sz w:val="20"/>
                <w:szCs w:val="20"/>
                <w:lang w:val="en-GB"/>
              </w:rPr>
              <w:t>WEEE</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38</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935692"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23</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Waste Management</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1999/31/EC </w:t>
            </w:r>
            <w:r w:rsidR="00B95D6A" w:rsidRPr="006314C9">
              <w:rPr>
                <w:rFonts w:cs="Times New Roman"/>
                <w:b/>
                <w:i/>
                <w:color w:val="000000"/>
                <w:sz w:val="20"/>
                <w:szCs w:val="20"/>
                <w:lang w:val="en-GB"/>
              </w:rPr>
              <w:t>Landfill</w:t>
            </w:r>
          </w:p>
        </w:tc>
        <w:tc>
          <w:tcPr>
            <w:tcW w:w="1730" w:type="dxa"/>
            <w:tcBorders>
              <w:top w:val="nil"/>
              <w:left w:val="nil"/>
              <w:bottom w:val="single" w:sz="4" w:space="0" w:color="auto"/>
              <w:right w:val="single" w:sz="4" w:space="0" w:color="auto"/>
            </w:tcBorders>
            <w:shd w:val="clear" w:color="000000" w:fill="FFFFFF"/>
            <w:vAlign w:val="center"/>
            <w:hideMark/>
          </w:tcPr>
          <w:p w:rsidR="001970C3" w:rsidRPr="006314C9" w:rsidRDefault="00935692"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MIE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81</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51251F"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24</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Waste Management</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CC0818" w:rsidP="00750C45">
            <w:pPr>
              <w:spacing w:beforeLines="60" w:afterLines="60"/>
              <w:jc w:val="center"/>
              <w:rPr>
                <w:rFonts w:cs="Times New Roman"/>
                <w:i/>
                <w:color w:val="000000"/>
                <w:sz w:val="20"/>
                <w:szCs w:val="20"/>
                <w:lang w:val="en-GB"/>
              </w:rPr>
            </w:pPr>
            <w:r w:rsidRPr="006314C9">
              <w:rPr>
                <w:rFonts w:cs="Times New Roman"/>
                <w:color w:val="000000"/>
                <w:sz w:val="20"/>
                <w:szCs w:val="20"/>
                <w:lang w:val="en-GB"/>
              </w:rPr>
              <w:t>EC/</w:t>
            </w:r>
            <w:r w:rsidR="002F0A16" w:rsidRPr="006314C9">
              <w:rPr>
                <w:rFonts w:cs="Times New Roman"/>
                <w:color w:val="000000"/>
                <w:sz w:val="20"/>
                <w:szCs w:val="20"/>
                <w:lang w:val="en-GB"/>
              </w:rPr>
              <w:t>1013/2006</w:t>
            </w:r>
            <w:r w:rsidR="00B95D6A" w:rsidRPr="006314C9">
              <w:rPr>
                <w:rFonts w:cs="Times New Roman"/>
                <w:b/>
                <w:i/>
                <w:color w:val="000000"/>
                <w:sz w:val="20"/>
                <w:szCs w:val="20"/>
                <w:lang w:val="en-GB"/>
              </w:rPr>
              <w:t>Shipment of Waste</w:t>
            </w:r>
          </w:p>
          <w:p w:rsidR="00694EE8" w:rsidRPr="006314C9" w:rsidRDefault="00694EE8" w:rsidP="00750C45">
            <w:pPr>
              <w:spacing w:beforeLines="60" w:afterLines="60"/>
              <w:jc w:val="center"/>
              <w:rPr>
                <w:rFonts w:cs="Times New Roman"/>
                <w:color w:val="000000"/>
                <w:sz w:val="20"/>
                <w:szCs w:val="20"/>
                <w:lang w:val="en-GB"/>
              </w:rPr>
            </w:pP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12</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51251F"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25</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Waste </w:t>
            </w:r>
            <w:r w:rsidRPr="006314C9">
              <w:rPr>
                <w:rFonts w:cs="Times New Roman"/>
                <w:color w:val="000000"/>
                <w:sz w:val="20"/>
                <w:szCs w:val="20"/>
                <w:lang w:val="en-GB"/>
              </w:rPr>
              <w:lastRenderedPageBreak/>
              <w:t>Management</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lastRenderedPageBreak/>
              <w:t xml:space="preserve">2006/21/EC </w:t>
            </w:r>
            <w:r w:rsidR="00B95D6A" w:rsidRPr="006314C9">
              <w:rPr>
                <w:rFonts w:cs="Times New Roman"/>
                <w:b/>
                <w:i/>
                <w:color w:val="000000"/>
                <w:sz w:val="20"/>
                <w:szCs w:val="20"/>
                <w:lang w:val="en-GB"/>
              </w:rPr>
              <w:t>Mining Waste</w:t>
            </w:r>
          </w:p>
        </w:tc>
        <w:tc>
          <w:tcPr>
            <w:tcW w:w="1730" w:type="dxa"/>
            <w:tcBorders>
              <w:top w:val="nil"/>
              <w:left w:val="nil"/>
              <w:bottom w:val="single" w:sz="4" w:space="0" w:color="auto"/>
              <w:right w:val="single" w:sz="4" w:space="0" w:color="auto"/>
            </w:tcBorders>
            <w:shd w:val="clear" w:color="000000" w:fill="FFFFFF"/>
            <w:vAlign w:val="center"/>
            <w:hideMark/>
          </w:tcPr>
          <w:p w:rsidR="001970C3" w:rsidRPr="006314C9" w:rsidRDefault="00935692"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MIE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45</w:t>
            </w:r>
          </w:p>
        </w:tc>
        <w:tc>
          <w:tcPr>
            <w:tcW w:w="1750" w:type="dxa"/>
            <w:tcBorders>
              <w:top w:val="nil"/>
              <w:left w:val="nil"/>
              <w:bottom w:val="single" w:sz="4" w:space="0" w:color="auto"/>
              <w:right w:val="single" w:sz="4" w:space="0" w:color="auto"/>
            </w:tcBorders>
            <w:shd w:val="clear" w:color="000000" w:fill="FFFFFF"/>
            <w:vAlign w:val="center"/>
          </w:tcPr>
          <w:p w:rsidR="001D3247" w:rsidRPr="006314C9" w:rsidRDefault="00935692"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Partly </w:t>
            </w:r>
            <w:r w:rsidRPr="006314C9">
              <w:rPr>
                <w:rFonts w:eastAsia="Times New Roman" w:cs="Times New Roman"/>
                <w:color w:val="000000"/>
                <w:sz w:val="20"/>
                <w:szCs w:val="20"/>
                <w:lang w:val="en-GB"/>
              </w:rPr>
              <w:lastRenderedPageBreak/>
              <w:t xml:space="preserve">implemented </w:t>
            </w:r>
          </w:p>
          <w:p w:rsidR="00694EE8" w:rsidRPr="006314C9" w:rsidRDefault="00694EE8" w:rsidP="00750C45">
            <w:pPr>
              <w:spacing w:beforeLines="60" w:afterLines="60"/>
              <w:jc w:val="center"/>
              <w:rPr>
                <w:rFonts w:eastAsia="Times New Roman" w:cs="Times New Roman"/>
                <w:color w:val="000000"/>
                <w:sz w:val="20"/>
                <w:szCs w:val="20"/>
                <w:lang w:val="en-GB"/>
              </w:rPr>
            </w:pP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lastRenderedPageBreak/>
              <w:t>26</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Waste Management</w:t>
            </w:r>
          </w:p>
        </w:tc>
        <w:tc>
          <w:tcPr>
            <w:tcW w:w="5972" w:type="dxa"/>
            <w:tcBorders>
              <w:top w:val="nil"/>
              <w:left w:val="nil"/>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1257/2013</w:t>
            </w:r>
            <w:r w:rsidR="00935692" w:rsidRPr="006314C9">
              <w:rPr>
                <w:rFonts w:cs="Times New Roman"/>
                <w:color w:val="000000"/>
                <w:sz w:val="20"/>
                <w:szCs w:val="20"/>
                <w:lang w:val="en-GB"/>
              </w:rPr>
              <w:t>/</w:t>
            </w:r>
            <w:proofErr w:type="spellStart"/>
            <w:r w:rsidR="00ED52AF" w:rsidRPr="006314C9">
              <w:rPr>
                <w:rFonts w:cs="Times New Roman"/>
                <w:color w:val="000000"/>
                <w:sz w:val="20"/>
                <w:szCs w:val="20"/>
                <w:lang w:val="en-GB"/>
              </w:rPr>
              <w:t>EU</w:t>
            </w:r>
            <w:r w:rsidR="00B95D6A" w:rsidRPr="006314C9">
              <w:rPr>
                <w:rFonts w:cs="Times New Roman"/>
                <w:b/>
                <w:i/>
                <w:color w:val="000000"/>
                <w:sz w:val="20"/>
                <w:szCs w:val="20"/>
                <w:lang w:val="en-GB"/>
              </w:rPr>
              <w:t>Ship</w:t>
            </w:r>
            <w:proofErr w:type="spellEnd"/>
            <w:r w:rsidR="00B95D6A" w:rsidRPr="006314C9">
              <w:rPr>
                <w:rFonts w:cs="Times New Roman"/>
                <w:b/>
                <w:i/>
                <w:color w:val="000000"/>
                <w:sz w:val="20"/>
                <w:szCs w:val="20"/>
                <w:lang w:val="en-GB"/>
              </w:rPr>
              <w:t xml:space="preserve"> Recycle</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1D3247" w:rsidP="00750C45">
            <w:pPr>
              <w:spacing w:beforeLines="60" w:afterLines="60"/>
              <w:jc w:val="center"/>
              <w:rPr>
                <w:rFonts w:eastAsia="Times New Roman" w:cs="Times New Roman"/>
                <w:color w:val="000000"/>
                <w:sz w:val="20"/>
                <w:szCs w:val="20"/>
                <w:lang w:val="en-GB"/>
              </w:rPr>
            </w:pPr>
            <w:proofErr w:type="spellStart"/>
            <w:r w:rsidRPr="006314C9">
              <w:rPr>
                <w:rFonts w:eastAsia="Times New Roman" w:cs="Times New Roman"/>
                <w:color w:val="000000"/>
                <w:sz w:val="20"/>
                <w:szCs w:val="20"/>
                <w:lang w:val="en-GB"/>
              </w:rPr>
              <w:t>MTE</w:t>
            </w:r>
            <w:r w:rsidR="00F0450C" w:rsidRPr="00F0450C">
              <w:rPr>
                <w:rFonts w:eastAsia="Times New Roman" w:cs="Times New Roman"/>
                <w:color w:val="000000"/>
                <w:sz w:val="20"/>
                <w:szCs w:val="20"/>
                <w:lang w:val="en-GB"/>
              </w:rPr>
              <w:t>but</w:t>
            </w:r>
            <w:proofErr w:type="spellEnd"/>
            <w:r w:rsidR="00F0450C" w:rsidRPr="00F0450C">
              <w:rPr>
                <w:rFonts w:eastAsia="Times New Roman" w:cs="Times New Roman"/>
                <w:color w:val="000000"/>
                <w:sz w:val="20"/>
                <w:szCs w:val="20"/>
                <w:lang w:val="en-GB"/>
              </w:rPr>
              <w:t xml:space="preserve"> not completely defined</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Not </w:t>
            </w:r>
            <w:r w:rsidR="00935692" w:rsidRPr="006314C9">
              <w:rPr>
                <w:rFonts w:eastAsia="Times New Roman" w:cs="Times New Roman"/>
                <w:color w:val="000000"/>
                <w:sz w:val="20"/>
                <w:szCs w:val="20"/>
                <w:lang w:val="en-GB"/>
              </w:rPr>
              <w:t>implemented</w:t>
            </w:r>
          </w:p>
        </w:tc>
      </w:tr>
      <w:tr w:rsidR="00F9537A" w:rsidRPr="006314C9" w:rsidTr="004F7E83">
        <w:tc>
          <w:tcPr>
            <w:tcW w:w="7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Water Quality</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1970C3" w:rsidRPr="006314C9" w:rsidRDefault="00B95D6A" w:rsidP="00750C45">
            <w:pPr>
              <w:spacing w:beforeLines="60" w:afterLines="60"/>
              <w:jc w:val="center"/>
              <w:rPr>
                <w:rFonts w:eastAsia="Times New Roman" w:cs="Times New Roman"/>
                <w:b/>
                <w:color w:val="000000"/>
                <w:sz w:val="24"/>
                <w:szCs w:val="24"/>
                <w:lang w:val="en-GB"/>
              </w:rPr>
            </w:pPr>
            <w:r w:rsidRPr="006314C9">
              <w:rPr>
                <w:rFonts w:cs="Times New Roman"/>
                <w:sz w:val="24"/>
                <w:szCs w:val="24"/>
                <w:lang w:val="en-GB"/>
              </w:rPr>
              <w:t xml:space="preserve"> AMBU</w:t>
            </w:r>
          </w:p>
        </w:tc>
        <w:tc>
          <w:tcPr>
            <w:tcW w:w="1731" w:type="dxa"/>
            <w:tcBorders>
              <w:top w:val="single" w:sz="4" w:space="0" w:color="auto"/>
              <w:left w:val="nil"/>
              <w:bottom w:val="single" w:sz="4" w:space="0" w:color="auto"/>
              <w:right w:val="single" w:sz="4" w:space="0" w:color="auto"/>
            </w:tcBorders>
            <w:shd w:val="clear" w:color="auto" w:fill="auto"/>
            <w:vAlign w:val="center"/>
          </w:tcPr>
          <w:p w:rsidR="00694EE8"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35</w:t>
            </w:r>
          </w:p>
        </w:tc>
        <w:tc>
          <w:tcPr>
            <w:tcW w:w="1750" w:type="dxa"/>
            <w:tcBorders>
              <w:top w:val="single" w:sz="4" w:space="0" w:color="auto"/>
              <w:left w:val="nil"/>
              <w:bottom w:val="single" w:sz="4" w:space="0" w:color="auto"/>
              <w:right w:val="single" w:sz="4" w:space="0" w:color="auto"/>
            </w:tcBorders>
            <w:shd w:val="clear" w:color="auto" w:fill="auto"/>
            <w:vAlign w:val="center"/>
          </w:tcPr>
          <w:p w:rsidR="00694EE8" w:rsidRPr="006314C9" w:rsidRDefault="00694EE8" w:rsidP="00750C45">
            <w:pPr>
              <w:spacing w:beforeLines="60" w:afterLines="60"/>
              <w:jc w:val="center"/>
              <w:rPr>
                <w:rFonts w:eastAsia="Times New Roman" w:cs="Times New Roman"/>
                <w:b/>
                <w:color w:val="000000"/>
                <w:sz w:val="24"/>
                <w:szCs w:val="24"/>
                <w:lang w:val="en-GB"/>
              </w:rPr>
            </w:pP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27</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Water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2000/60/EC </w:t>
            </w:r>
            <w:r w:rsidRPr="006314C9">
              <w:rPr>
                <w:rFonts w:cs="Times New Roman"/>
                <w:b/>
                <w:i/>
                <w:color w:val="000000"/>
                <w:sz w:val="20"/>
                <w:szCs w:val="20"/>
                <w:lang w:val="en-GB"/>
              </w:rPr>
              <w:t>Water Framework</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AMBU</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41</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0340FB"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Partly </w:t>
            </w:r>
            <w:r w:rsidR="008D0E4D" w:rsidRPr="006314C9">
              <w:rPr>
                <w:rFonts w:eastAsia="Times New Roman" w:cs="Times New Roman"/>
                <w:color w:val="000000"/>
                <w:sz w:val="20"/>
                <w:szCs w:val="20"/>
                <w:lang w:val="en-GB"/>
              </w:rPr>
              <w:t>implanted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28</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Water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91/271/EEC </w:t>
            </w:r>
            <w:r w:rsidR="00B95D6A" w:rsidRPr="006314C9">
              <w:rPr>
                <w:rFonts w:cs="Times New Roman"/>
                <w:b/>
                <w:i/>
                <w:color w:val="000000"/>
                <w:sz w:val="20"/>
                <w:szCs w:val="20"/>
                <w:lang w:val="en-GB"/>
              </w:rPr>
              <w:t xml:space="preserve">UWWT </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MIE </w:t>
            </w:r>
            <w:r w:rsidR="00F0450C" w:rsidRPr="00F0450C">
              <w:rPr>
                <w:rFonts w:eastAsia="Times New Roman" w:cs="Times New Roman"/>
                <w:color w:val="000000"/>
                <w:sz w:val="20"/>
                <w:szCs w:val="20"/>
                <w:lang w:val="en-GB"/>
              </w:rPr>
              <w:t>but not completely defined</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66</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114DE5"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29</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Water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2008/56/EC </w:t>
            </w:r>
            <w:r w:rsidRPr="006314C9">
              <w:rPr>
                <w:rFonts w:cs="Times New Roman"/>
                <w:b/>
                <w:i/>
                <w:color w:val="000000"/>
                <w:sz w:val="20"/>
                <w:szCs w:val="20"/>
                <w:lang w:val="en-GB"/>
              </w:rPr>
              <w:t>Marine Strategy</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AMBU </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420028"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Stage </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9908B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30</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Water Quality</w:t>
            </w:r>
          </w:p>
        </w:tc>
        <w:tc>
          <w:tcPr>
            <w:tcW w:w="5972" w:type="dxa"/>
            <w:tcBorders>
              <w:top w:val="nil"/>
              <w:left w:val="nil"/>
              <w:bottom w:val="single" w:sz="4" w:space="0" w:color="auto"/>
              <w:right w:val="single" w:sz="4" w:space="0" w:color="auto"/>
            </w:tcBorders>
            <w:shd w:val="clear" w:color="auto" w:fill="auto"/>
            <w:vAlign w:val="center"/>
            <w:hideMark/>
          </w:tcPr>
          <w:p w:rsidR="009908B8" w:rsidRPr="006314C9" w:rsidRDefault="00B95D6A" w:rsidP="00750C45">
            <w:pPr>
              <w:spacing w:beforeLines="60" w:afterLines="60"/>
              <w:jc w:val="center"/>
              <w:rPr>
                <w:rFonts w:cs="Times New Roman"/>
                <w:color w:val="000000"/>
                <w:lang w:val="en-GB"/>
              </w:rPr>
            </w:pPr>
            <w:r w:rsidRPr="006314C9">
              <w:rPr>
                <w:rFonts w:eastAsia="Times New Roman" w:cs="Times New Roman"/>
                <w:color w:val="444444"/>
                <w:lang w:val="en-GB"/>
              </w:rPr>
              <w:t xml:space="preserve">2010/477/EU/EU </w:t>
            </w:r>
            <w:r w:rsidRPr="006314C9">
              <w:rPr>
                <w:rFonts w:eastAsia="Times New Roman" w:cs="Times New Roman"/>
                <w:b/>
                <w:i/>
                <w:color w:val="444444"/>
                <w:lang w:val="en-GB"/>
              </w:rPr>
              <w:t>Standards on good environmental status</w:t>
            </w:r>
            <w:r w:rsidR="008D0E4D" w:rsidRPr="006314C9">
              <w:rPr>
                <w:rFonts w:eastAsia="Times New Roman" w:cs="Times New Roman"/>
                <w:b/>
                <w:i/>
                <w:color w:val="444444"/>
                <w:lang w:val="en-GB"/>
              </w:rPr>
              <w:t xml:space="preserve"> on marine waters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AMBU</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Stage </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31</w:t>
            </w:r>
          </w:p>
        </w:tc>
        <w:tc>
          <w:tcPr>
            <w:tcW w:w="1368" w:type="dxa"/>
            <w:tcBorders>
              <w:top w:val="nil"/>
              <w:left w:val="nil"/>
              <w:bottom w:val="single" w:sz="4" w:space="0" w:color="auto"/>
              <w:right w:val="single" w:sz="4" w:space="0" w:color="auto"/>
            </w:tcBorders>
            <w:shd w:val="clear" w:color="auto" w:fill="auto"/>
            <w:vAlign w:val="center"/>
            <w:hideMark/>
          </w:tcPr>
          <w:p w:rsidR="001970C3"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Water Quality</w:t>
            </w:r>
          </w:p>
        </w:tc>
        <w:tc>
          <w:tcPr>
            <w:tcW w:w="5972" w:type="dxa"/>
            <w:tcBorders>
              <w:top w:val="nil"/>
              <w:left w:val="nil"/>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98/83/EC </w:t>
            </w:r>
            <w:r w:rsidRPr="006314C9">
              <w:rPr>
                <w:rFonts w:cs="Times New Roman"/>
                <w:b/>
                <w:i/>
                <w:color w:val="000000"/>
                <w:sz w:val="20"/>
                <w:szCs w:val="20"/>
                <w:lang w:val="en-GB"/>
              </w:rPr>
              <w:t>Drinking Water</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Institute of Pub</w:t>
            </w:r>
            <w:r w:rsidR="00EA3454" w:rsidRPr="006314C9">
              <w:rPr>
                <w:rFonts w:eastAsia="Times New Roman" w:cs="Times New Roman"/>
                <w:color w:val="000000"/>
                <w:sz w:val="20"/>
                <w:szCs w:val="20"/>
                <w:lang w:val="en-GB"/>
              </w:rPr>
              <w:t>l</w:t>
            </w:r>
            <w:r w:rsidRPr="006314C9">
              <w:rPr>
                <w:rFonts w:eastAsia="Times New Roman" w:cs="Times New Roman"/>
                <w:color w:val="000000"/>
                <w:sz w:val="20"/>
                <w:szCs w:val="20"/>
                <w:lang w:val="en-GB"/>
              </w:rPr>
              <w:t>ic Hea</w:t>
            </w:r>
            <w:r w:rsidR="00EA3454" w:rsidRPr="006314C9">
              <w:rPr>
                <w:rFonts w:eastAsia="Times New Roman" w:cs="Times New Roman"/>
                <w:color w:val="000000"/>
                <w:sz w:val="20"/>
                <w:szCs w:val="20"/>
                <w:lang w:val="en-GB"/>
              </w:rPr>
              <w:t>l</w:t>
            </w:r>
            <w:r w:rsidRPr="006314C9">
              <w:rPr>
                <w:rFonts w:eastAsia="Times New Roman" w:cs="Times New Roman"/>
                <w:color w:val="000000"/>
                <w:sz w:val="20"/>
                <w:szCs w:val="20"/>
                <w:lang w:val="en-GB"/>
              </w:rPr>
              <w:t>t</w:t>
            </w:r>
            <w:r w:rsidR="00EA3454" w:rsidRPr="006314C9">
              <w:rPr>
                <w:rFonts w:eastAsia="Times New Roman" w:cs="Times New Roman"/>
                <w:color w:val="000000"/>
                <w:sz w:val="20"/>
                <w:szCs w:val="20"/>
                <w:lang w:val="en-GB"/>
              </w:rPr>
              <w:t>h</w:t>
            </w:r>
            <w:r w:rsidR="006771CC" w:rsidRPr="006314C9">
              <w:rPr>
                <w:rFonts w:eastAsia="Times New Roman" w:cs="Times New Roman"/>
                <w:color w:val="000000"/>
                <w:sz w:val="20"/>
                <w:szCs w:val="20"/>
                <w:lang w:val="en-GB"/>
              </w:rPr>
              <w:t xml:space="preserve">(IPH) </w:t>
            </w:r>
            <w:r w:rsidR="00F0450C" w:rsidRPr="00F0450C">
              <w:rPr>
                <w:rFonts w:eastAsia="Times New Roman" w:cs="Times New Roman"/>
                <w:color w:val="000000"/>
                <w:sz w:val="20"/>
                <w:szCs w:val="20"/>
                <w:lang w:val="en-GB"/>
              </w:rPr>
              <w:t>but not completely defined</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100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Partly implemented  </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32</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Water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91/676/EEC </w:t>
            </w:r>
            <w:r w:rsidRPr="006314C9">
              <w:rPr>
                <w:rFonts w:cs="Times New Roman"/>
                <w:b/>
                <w:i/>
                <w:color w:val="000000"/>
                <w:sz w:val="20"/>
                <w:szCs w:val="20"/>
                <w:lang w:val="en-GB"/>
              </w:rPr>
              <w:t xml:space="preserve">Nitrates </w:t>
            </w:r>
          </w:p>
        </w:tc>
        <w:tc>
          <w:tcPr>
            <w:tcW w:w="1730" w:type="dxa"/>
            <w:tcBorders>
              <w:top w:val="nil"/>
              <w:left w:val="nil"/>
              <w:bottom w:val="single" w:sz="4" w:space="0" w:color="auto"/>
              <w:right w:val="single" w:sz="4" w:space="0" w:color="auto"/>
            </w:tcBorders>
            <w:shd w:val="clear" w:color="000000" w:fill="FFFFFF"/>
            <w:vAlign w:val="center"/>
            <w:hideMark/>
          </w:tcPr>
          <w:p w:rsidR="001970C3"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MARD</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15</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EA3454"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33</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Water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 2006/7/EC </w:t>
            </w:r>
            <w:r w:rsidRPr="006314C9">
              <w:rPr>
                <w:rFonts w:cs="Times New Roman"/>
                <w:b/>
                <w:i/>
                <w:color w:val="000000"/>
                <w:sz w:val="20"/>
                <w:szCs w:val="20"/>
                <w:lang w:val="en-GB"/>
              </w:rPr>
              <w:t>Bathing Water</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Institute of Public Health/ Ministry </w:t>
            </w:r>
            <w:r w:rsidRPr="006314C9">
              <w:rPr>
                <w:rFonts w:eastAsia="Times New Roman" w:cs="Times New Roman"/>
                <w:color w:val="000000"/>
                <w:sz w:val="20"/>
                <w:szCs w:val="20"/>
                <w:lang w:val="en-GB"/>
              </w:rPr>
              <w:lastRenderedPageBreak/>
              <w:t>of Health and Social Affairs (MHSA)</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lastRenderedPageBreak/>
              <w:t>100</w:t>
            </w:r>
          </w:p>
        </w:tc>
        <w:tc>
          <w:tcPr>
            <w:tcW w:w="1750" w:type="dxa"/>
            <w:tcBorders>
              <w:top w:val="nil"/>
              <w:left w:val="nil"/>
              <w:bottom w:val="single" w:sz="4" w:space="0" w:color="auto"/>
              <w:right w:val="single" w:sz="4" w:space="0" w:color="auto"/>
            </w:tcBorders>
            <w:shd w:val="clear" w:color="000000" w:fill="FFFFFF"/>
            <w:vAlign w:val="center"/>
          </w:tcPr>
          <w:p w:rsidR="00590337"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Partly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lastRenderedPageBreak/>
              <w:t>34</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Water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2006/118/EC </w:t>
            </w:r>
            <w:r w:rsidRPr="006314C9">
              <w:rPr>
                <w:rFonts w:cs="Times New Roman"/>
                <w:b/>
                <w:i/>
                <w:color w:val="000000"/>
                <w:sz w:val="20"/>
                <w:szCs w:val="20"/>
                <w:lang w:val="en-GB"/>
              </w:rPr>
              <w:t xml:space="preserve">Groundwater </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AMBU</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420028"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stage </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35</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Water Quality</w:t>
            </w:r>
          </w:p>
        </w:tc>
        <w:tc>
          <w:tcPr>
            <w:tcW w:w="5972" w:type="dxa"/>
            <w:tcBorders>
              <w:top w:val="nil"/>
              <w:left w:val="nil"/>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2008/105/EC </w:t>
            </w:r>
            <w:r w:rsidR="008D0E4D" w:rsidRPr="006314C9">
              <w:rPr>
                <w:rFonts w:cs="Times New Roman"/>
                <w:b/>
                <w:i/>
                <w:color w:val="000000"/>
                <w:sz w:val="20"/>
                <w:szCs w:val="20"/>
                <w:lang w:val="en-GB"/>
              </w:rPr>
              <w:t>Enviro</w:t>
            </w:r>
            <w:r w:rsidRPr="006314C9">
              <w:rPr>
                <w:rFonts w:cs="Times New Roman"/>
                <w:b/>
                <w:i/>
                <w:color w:val="000000"/>
                <w:sz w:val="20"/>
                <w:szCs w:val="20"/>
                <w:lang w:val="en-GB"/>
              </w:rPr>
              <w:t xml:space="preserve">nmental Quality </w:t>
            </w:r>
            <w:r w:rsidR="008D0E4D" w:rsidRPr="006314C9">
              <w:rPr>
                <w:rFonts w:cs="Times New Roman"/>
                <w:b/>
                <w:i/>
                <w:color w:val="000000"/>
                <w:sz w:val="20"/>
                <w:szCs w:val="20"/>
                <w:lang w:val="en-GB"/>
              </w:rPr>
              <w:t>Standards</w:t>
            </w:r>
            <w:r w:rsidRPr="006314C9">
              <w:rPr>
                <w:rFonts w:cs="Times New Roman"/>
                <w:b/>
                <w:i/>
                <w:color w:val="000000"/>
                <w:sz w:val="20"/>
                <w:szCs w:val="20"/>
                <w:lang w:val="en-GB"/>
              </w:rPr>
              <w:t xml:space="preserve"> for Water</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NEA</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37</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Initial stage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3</w:t>
            </w:r>
            <w:r w:rsidR="009908B8" w:rsidRPr="006314C9">
              <w:rPr>
                <w:rFonts w:cs="Times New Roman"/>
                <w:color w:val="000000"/>
                <w:sz w:val="20"/>
                <w:szCs w:val="20"/>
                <w:lang w:val="en-GB"/>
              </w:rPr>
              <w:t>6</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Water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2009/90/EC </w:t>
            </w:r>
            <w:r w:rsidR="00B95D6A" w:rsidRPr="006314C9">
              <w:rPr>
                <w:rFonts w:cs="Times New Roman"/>
                <w:b/>
                <w:i/>
                <w:color w:val="000000"/>
                <w:sz w:val="20"/>
                <w:szCs w:val="20"/>
                <w:lang w:val="en-GB"/>
              </w:rPr>
              <w:t>Quality Assurance/Quality Control</w:t>
            </w:r>
          </w:p>
        </w:tc>
        <w:tc>
          <w:tcPr>
            <w:tcW w:w="1730" w:type="dxa"/>
            <w:tcBorders>
              <w:top w:val="nil"/>
              <w:left w:val="nil"/>
              <w:bottom w:val="single" w:sz="4" w:space="0" w:color="auto"/>
              <w:right w:val="single" w:sz="4" w:space="0" w:color="auto"/>
            </w:tcBorders>
            <w:shd w:val="clear" w:color="000000" w:fill="FFFFFF"/>
            <w:vAlign w:val="center"/>
            <w:hideMark/>
          </w:tcPr>
          <w:p w:rsidR="001970C3" w:rsidRPr="006314C9" w:rsidRDefault="008D0E4D"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NEA</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20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85040C"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3</w:t>
            </w:r>
            <w:r w:rsidR="009908B8" w:rsidRPr="006314C9">
              <w:rPr>
                <w:rFonts w:cs="Times New Roman"/>
                <w:color w:val="000000"/>
                <w:sz w:val="20"/>
                <w:szCs w:val="20"/>
                <w:lang w:val="en-GB"/>
              </w:rPr>
              <w:t>7</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Water Quality</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2007/60/EC </w:t>
            </w:r>
            <w:r w:rsidR="00B95D6A" w:rsidRPr="006314C9">
              <w:rPr>
                <w:rFonts w:cs="Times New Roman"/>
                <w:b/>
                <w:i/>
                <w:color w:val="000000"/>
                <w:sz w:val="20"/>
                <w:szCs w:val="20"/>
                <w:lang w:val="en-GB"/>
              </w:rPr>
              <w:t>Floods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Ministry of Defence (MoD)</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85040C"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7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Nature Protection</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MTE</w:t>
            </w:r>
          </w:p>
        </w:tc>
        <w:tc>
          <w:tcPr>
            <w:tcW w:w="1731" w:type="dxa"/>
            <w:tcBorders>
              <w:top w:val="single" w:sz="4" w:space="0" w:color="auto"/>
              <w:left w:val="nil"/>
              <w:bottom w:val="single" w:sz="4" w:space="0" w:color="auto"/>
              <w:right w:val="single" w:sz="4" w:space="0" w:color="auto"/>
            </w:tcBorders>
            <w:shd w:val="clear" w:color="auto" w:fill="auto"/>
            <w:vAlign w:val="center"/>
          </w:tcPr>
          <w:p w:rsidR="001970C3"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33</w:t>
            </w:r>
          </w:p>
        </w:tc>
        <w:tc>
          <w:tcPr>
            <w:tcW w:w="1750" w:type="dxa"/>
            <w:tcBorders>
              <w:top w:val="single" w:sz="4" w:space="0" w:color="auto"/>
              <w:left w:val="nil"/>
              <w:bottom w:val="single" w:sz="4" w:space="0" w:color="auto"/>
              <w:right w:val="single" w:sz="4" w:space="0" w:color="auto"/>
            </w:tcBorders>
            <w:shd w:val="clear" w:color="auto" w:fill="auto"/>
            <w:vAlign w:val="center"/>
          </w:tcPr>
          <w:p w:rsidR="00694EE8" w:rsidRPr="006314C9" w:rsidRDefault="00694EE8" w:rsidP="00750C45">
            <w:pPr>
              <w:spacing w:beforeLines="60" w:afterLines="60"/>
              <w:jc w:val="center"/>
              <w:rPr>
                <w:rFonts w:eastAsia="Times New Roman" w:cs="Times New Roman"/>
                <w:b/>
                <w:color w:val="000000"/>
                <w:sz w:val="24"/>
                <w:szCs w:val="24"/>
                <w:lang w:val="en-GB"/>
              </w:rPr>
            </w:pP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3</w:t>
            </w:r>
            <w:r w:rsidR="009908B8" w:rsidRPr="006314C9">
              <w:rPr>
                <w:rFonts w:cs="Times New Roman"/>
                <w:color w:val="000000"/>
                <w:sz w:val="20"/>
                <w:szCs w:val="20"/>
                <w:lang w:val="en-GB"/>
              </w:rPr>
              <w:t>8</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Nature Protection</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2009/147/EC </w:t>
            </w:r>
            <w:r w:rsidR="00B95D6A" w:rsidRPr="006314C9">
              <w:rPr>
                <w:rFonts w:cs="Times New Roman"/>
                <w:b/>
                <w:i/>
                <w:color w:val="000000"/>
                <w:sz w:val="20"/>
                <w:szCs w:val="20"/>
                <w:lang w:val="en-GB"/>
              </w:rPr>
              <w:t>Wild Birds</w:t>
            </w:r>
          </w:p>
        </w:tc>
        <w:tc>
          <w:tcPr>
            <w:tcW w:w="1730" w:type="dxa"/>
            <w:tcBorders>
              <w:top w:val="nil"/>
              <w:left w:val="nil"/>
              <w:bottom w:val="single" w:sz="4" w:space="0" w:color="auto"/>
              <w:right w:val="single" w:sz="4" w:space="0" w:color="auto"/>
            </w:tcBorders>
            <w:shd w:val="clear" w:color="000000" w:fill="FFFFFF"/>
            <w:vAlign w:val="center"/>
            <w:hideMark/>
          </w:tcPr>
          <w:p w:rsidR="00601232" w:rsidRPr="006314C9" w:rsidRDefault="006233A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NAPA</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65</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85040C"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3</w:t>
            </w:r>
            <w:r w:rsidR="009908B8" w:rsidRPr="006314C9">
              <w:rPr>
                <w:rFonts w:cs="Times New Roman"/>
                <w:color w:val="000000"/>
                <w:sz w:val="20"/>
                <w:szCs w:val="20"/>
                <w:lang w:val="en-GB"/>
              </w:rPr>
              <w:t>9</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Nature Protection</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92/43/EEC </w:t>
            </w:r>
            <w:r w:rsidR="00B95D6A" w:rsidRPr="006314C9">
              <w:rPr>
                <w:rFonts w:cs="Times New Roman"/>
                <w:b/>
                <w:i/>
                <w:color w:val="000000"/>
                <w:sz w:val="20"/>
                <w:szCs w:val="20"/>
                <w:lang w:val="en-GB"/>
              </w:rPr>
              <w:t>Habitats</w:t>
            </w:r>
          </w:p>
        </w:tc>
        <w:tc>
          <w:tcPr>
            <w:tcW w:w="1730" w:type="dxa"/>
            <w:tcBorders>
              <w:top w:val="nil"/>
              <w:left w:val="nil"/>
              <w:bottom w:val="single" w:sz="4" w:space="0" w:color="auto"/>
              <w:right w:val="single" w:sz="4" w:space="0" w:color="auto"/>
            </w:tcBorders>
            <w:shd w:val="clear" w:color="000000" w:fill="FFFFFF"/>
            <w:vAlign w:val="center"/>
            <w:hideMark/>
          </w:tcPr>
          <w:p w:rsidR="001970C3" w:rsidRPr="006314C9" w:rsidRDefault="006233A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NAPA</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86</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85040C"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9908B8"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40</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Nature Protection</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1999/22/EC </w:t>
            </w:r>
            <w:r w:rsidR="00B95D6A" w:rsidRPr="006314C9">
              <w:rPr>
                <w:rFonts w:cs="Times New Roman"/>
                <w:b/>
                <w:i/>
                <w:color w:val="000000"/>
                <w:sz w:val="20"/>
                <w:szCs w:val="20"/>
                <w:lang w:val="en-GB"/>
              </w:rPr>
              <w:t>Zoo</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601232"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50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85040C"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4</w:t>
            </w:r>
            <w:r w:rsidR="009908B8" w:rsidRPr="006314C9">
              <w:rPr>
                <w:rFonts w:cs="Times New Roman"/>
                <w:color w:val="000000"/>
                <w:sz w:val="20"/>
                <w:szCs w:val="20"/>
                <w:lang w:val="en-GB"/>
              </w:rPr>
              <w:t>1</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Nature Protection</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3254/91/EEC  </w:t>
            </w:r>
            <w:proofErr w:type="spellStart"/>
            <w:r w:rsidR="00B95D6A" w:rsidRPr="006314C9">
              <w:rPr>
                <w:rFonts w:cs="Times New Roman"/>
                <w:b/>
                <w:i/>
                <w:color w:val="000000"/>
                <w:sz w:val="20"/>
                <w:szCs w:val="20"/>
                <w:lang w:val="en-GB"/>
              </w:rPr>
              <w:t>Leghold</w:t>
            </w:r>
            <w:proofErr w:type="spellEnd"/>
            <w:r w:rsidR="00B95D6A" w:rsidRPr="006314C9">
              <w:rPr>
                <w:rFonts w:cs="Times New Roman"/>
                <w:b/>
                <w:i/>
                <w:color w:val="000000"/>
                <w:sz w:val="20"/>
                <w:szCs w:val="20"/>
                <w:lang w:val="en-GB"/>
              </w:rPr>
              <w:t xml:space="preserve"> Traps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6</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Not </w:t>
            </w:r>
            <w:r w:rsidR="00877C7C" w:rsidRPr="006314C9">
              <w:rPr>
                <w:rFonts w:eastAsia="Times New Roman" w:cs="Times New Roman"/>
                <w:color w:val="000000"/>
                <w:sz w:val="20"/>
                <w:szCs w:val="20"/>
                <w:lang w:val="en-GB"/>
              </w:rPr>
              <w:t>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4</w:t>
            </w:r>
            <w:r w:rsidR="009908B8" w:rsidRPr="006314C9">
              <w:rPr>
                <w:rFonts w:cs="Times New Roman"/>
                <w:color w:val="000000"/>
                <w:sz w:val="20"/>
                <w:szCs w:val="20"/>
                <w:lang w:val="en-GB"/>
              </w:rPr>
              <w:t>2</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Nature Protection</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EC</w:t>
            </w:r>
            <w:r w:rsidR="00275300" w:rsidRPr="006314C9">
              <w:rPr>
                <w:rFonts w:cs="Times New Roman"/>
                <w:color w:val="000000"/>
                <w:sz w:val="20"/>
                <w:szCs w:val="20"/>
                <w:lang w:val="en-GB"/>
              </w:rPr>
              <w:t>/</w:t>
            </w:r>
            <w:r w:rsidRPr="006314C9">
              <w:rPr>
                <w:rFonts w:cs="Times New Roman"/>
                <w:color w:val="000000"/>
                <w:sz w:val="20"/>
                <w:szCs w:val="20"/>
                <w:lang w:val="en-GB"/>
              </w:rPr>
              <w:t xml:space="preserve">338/97 </w:t>
            </w:r>
            <w:r w:rsidR="00B95D6A" w:rsidRPr="006314C9">
              <w:rPr>
                <w:rFonts w:cs="Times New Roman"/>
                <w:b/>
                <w:i/>
                <w:color w:val="000000"/>
                <w:sz w:val="20"/>
                <w:szCs w:val="20"/>
                <w:lang w:val="en-GB"/>
              </w:rPr>
              <w:t>CITES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590337" w:rsidRPr="006314C9" w:rsidRDefault="006233A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5</w:t>
            </w:r>
            <w:r w:rsidR="00B95D6A" w:rsidRPr="006314C9">
              <w:rPr>
                <w:rFonts w:eastAsia="Times New Roman" w:cs="Times New Roman"/>
                <w:color w:val="000000"/>
                <w:sz w:val="20"/>
                <w:szCs w:val="20"/>
                <w:lang w:val="en-GB"/>
              </w:rPr>
              <w:t xml:space="preserve">6 </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877C7C"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Partly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lastRenderedPageBreak/>
              <w:t>4</w:t>
            </w:r>
            <w:r w:rsidR="009908B8" w:rsidRPr="006314C9">
              <w:rPr>
                <w:rFonts w:cs="Times New Roman"/>
                <w:color w:val="000000"/>
                <w:sz w:val="20"/>
                <w:szCs w:val="20"/>
                <w:lang w:val="en-GB"/>
              </w:rPr>
              <w:t>3</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Nature Protection</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2173/2005 </w:t>
            </w:r>
            <w:r w:rsidR="00275300" w:rsidRPr="006314C9">
              <w:rPr>
                <w:rFonts w:cs="Times New Roman"/>
                <w:color w:val="000000"/>
                <w:sz w:val="20"/>
                <w:szCs w:val="20"/>
                <w:lang w:val="en-GB"/>
              </w:rPr>
              <w:t xml:space="preserve">EC </w:t>
            </w:r>
            <w:r w:rsidR="00B95D6A" w:rsidRPr="006314C9">
              <w:rPr>
                <w:rFonts w:cs="Times New Roman"/>
                <w:b/>
                <w:i/>
                <w:color w:val="000000"/>
                <w:sz w:val="20"/>
                <w:szCs w:val="20"/>
                <w:lang w:val="en-GB"/>
              </w:rPr>
              <w:t>FLEGT</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6233A9" w:rsidP="00750C45">
            <w:pPr>
              <w:spacing w:beforeLines="60" w:afterLines="60"/>
              <w:jc w:val="center"/>
              <w:rPr>
                <w:rFonts w:eastAsia="Times New Roman" w:cs="Times New Roman"/>
                <w:color w:val="000000"/>
                <w:sz w:val="20"/>
                <w:szCs w:val="20"/>
                <w:lang w:val="en-GB"/>
              </w:rPr>
            </w:pPr>
            <w:proofErr w:type="spellStart"/>
            <w:r w:rsidRPr="006314C9">
              <w:rPr>
                <w:rFonts w:eastAsia="Times New Roman" w:cs="Times New Roman"/>
                <w:color w:val="000000"/>
                <w:sz w:val="20"/>
                <w:szCs w:val="20"/>
                <w:lang w:val="en-GB"/>
              </w:rPr>
              <w:t>MARD</w:t>
            </w:r>
            <w:r w:rsidR="00F0450C" w:rsidRPr="00F0450C">
              <w:rPr>
                <w:rFonts w:eastAsia="Times New Roman" w:cs="Times New Roman"/>
                <w:color w:val="000000"/>
                <w:sz w:val="20"/>
                <w:szCs w:val="20"/>
                <w:lang w:val="en-GB"/>
              </w:rPr>
              <w:t>but</w:t>
            </w:r>
            <w:proofErr w:type="spellEnd"/>
            <w:r w:rsidR="00F0450C" w:rsidRPr="00F0450C">
              <w:rPr>
                <w:rFonts w:eastAsia="Times New Roman" w:cs="Times New Roman"/>
                <w:color w:val="000000"/>
                <w:sz w:val="20"/>
                <w:szCs w:val="20"/>
                <w:lang w:val="en-GB"/>
              </w:rPr>
              <w:t xml:space="preserve"> not completely defined</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36</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85040C"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4</w:t>
            </w:r>
            <w:r w:rsidR="009908B8" w:rsidRPr="006314C9">
              <w:rPr>
                <w:rFonts w:cs="Times New Roman"/>
                <w:color w:val="000000"/>
                <w:sz w:val="20"/>
                <w:szCs w:val="20"/>
                <w:lang w:val="en-GB"/>
              </w:rPr>
              <w:t>4</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Nature Protection</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EU 995/2010</w:t>
            </w:r>
            <w:r w:rsidR="00B95D6A" w:rsidRPr="006314C9">
              <w:rPr>
                <w:rFonts w:cs="Times New Roman"/>
                <w:b/>
                <w:i/>
                <w:color w:val="000000"/>
                <w:sz w:val="20"/>
                <w:szCs w:val="20"/>
                <w:lang w:val="en-GB"/>
              </w:rPr>
              <w:t>EUTR</w:t>
            </w:r>
          </w:p>
        </w:tc>
        <w:tc>
          <w:tcPr>
            <w:tcW w:w="1730" w:type="dxa"/>
            <w:tcBorders>
              <w:top w:val="nil"/>
              <w:left w:val="nil"/>
              <w:bottom w:val="single" w:sz="4" w:space="0" w:color="auto"/>
              <w:right w:val="single" w:sz="4" w:space="0" w:color="auto"/>
            </w:tcBorders>
            <w:shd w:val="clear" w:color="000000" w:fill="FFFFFF"/>
            <w:vAlign w:val="center"/>
            <w:hideMark/>
          </w:tcPr>
          <w:p w:rsidR="001970C3" w:rsidRPr="006314C9" w:rsidRDefault="006233A9" w:rsidP="00750C45">
            <w:pPr>
              <w:spacing w:beforeLines="60" w:afterLines="60"/>
              <w:jc w:val="center"/>
              <w:rPr>
                <w:rFonts w:cs="Times New Roman"/>
                <w:sz w:val="20"/>
                <w:szCs w:val="20"/>
                <w:lang w:val="en-GB"/>
              </w:rPr>
            </w:pPr>
            <w:r w:rsidRPr="006314C9">
              <w:rPr>
                <w:rFonts w:eastAsia="Times New Roman" w:cs="Times New Roman"/>
                <w:color w:val="000000"/>
                <w:sz w:val="20"/>
                <w:szCs w:val="20"/>
                <w:lang w:val="en-GB"/>
              </w:rPr>
              <w:t xml:space="preserve">MTE </w:t>
            </w:r>
            <w:r w:rsidR="00F0450C" w:rsidRPr="00F0450C">
              <w:rPr>
                <w:rFonts w:eastAsia="Times New Roman" w:cs="Times New Roman"/>
                <w:color w:val="000000"/>
                <w:sz w:val="20"/>
                <w:szCs w:val="20"/>
                <w:lang w:val="en-GB"/>
              </w:rPr>
              <w:t>but not completely defined</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31</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85040C"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4</w:t>
            </w:r>
            <w:r w:rsidR="009908B8" w:rsidRPr="006314C9">
              <w:rPr>
                <w:rFonts w:cs="Times New Roman"/>
                <w:color w:val="000000"/>
                <w:sz w:val="20"/>
                <w:szCs w:val="20"/>
                <w:lang w:val="en-GB"/>
              </w:rPr>
              <w:t>5</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Nature Protection</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75300"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EC</w:t>
            </w:r>
            <w:r w:rsidR="00ED52AF" w:rsidRPr="006314C9">
              <w:rPr>
                <w:rFonts w:cs="Times New Roman"/>
                <w:color w:val="000000"/>
                <w:sz w:val="20"/>
                <w:szCs w:val="20"/>
                <w:lang w:val="en-GB"/>
              </w:rPr>
              <w:t xml:space="preserve">511/2014 </w:t>
            </w:r>
            <w:r w:rsidR="00B95D6A" w:rsidRPr="006314C9">
              <w:rPr>
                <w:rFonts w:cs="Times New Roman"/>
                <w:b/>
                <w:i/>
                <w:color w:val="000000"/>
                <w:sz w:val="20"/>
                <w:szCs w:val="20"/>
                <w:lang w:val="en-GB"/>
              </w:rPr>
              <w:t>ABS Regulation</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Not </w:t>
            </w:r>
            <w:r w:rsidR="006233A9" w:rsidRPr="006314C9">
              <w:rPr>
                <w:rFonts w:eastAsia="Times New Roman" w:cs="Times New Roman"/>
                <w:color w:val="000000"/>
                <w:sz w:val="20"/>
                <w:szCs w:val="20"/>
                <w:lang w:val="en-GB"/>
              </w:rPr>
              <w:t>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4</w:t>
            </w:r>
            <w:r w:rsidR="009908B8" w:rsidRPr="006314C9">
              <w:rPr>
                <w:rFonts w:cs="Times New Roman"/>
                <w:color w:val="000000"/>
                <w:sz w:val="20"/>
                <w:szCs w:val="20"/>
                <w:lang w:val="en-GB"/>
              </w:rPr>
              <w:t>6</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Nature Protection</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EC1007/2009 </w:t>
            </w:r>
            <w:r w:rsidR="00B95D6A" w:rsidRPr="006314C9">
              <w:rPr>
                <w:rFonts w:cs="Times New Roman"/>
                <w:b/>
                <w:i/>
                <w:color w:val="000000"/>
                <w:sz w:val="20"/>
                <w:szCs w:val="20"/>
                <w:lang w:val="en-GB"/>
              </w:rPr>
              <w:t>Seal Products</w:t>
            </w:r>
          </w:p>
        </w:tc>
        <w:tc>
          <w:tcPr>
            <w:tcW w:w="1730" w:type="dxa"/>
            <w:tcBorders>
              <w:top w:val="nil"/>
              <w:left w:val="nil"/>
              <w:bottom w:val="single" w:sz="4" w:space="0" w:color="auto"/>
              <w:right w:val="single" w:sz="4" w:space="0" w:color="auto"/>
            </w:tcBorders>
            <w:shd w:val="clear" w:color="000000" w:fill="FFFFFF"/>
            <w:vAlign w:val="center"/>
            <w:hideMark/>
          </w:tcPr>
          <w:p w:rsidR="00601232"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NAPA</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6233A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4</w:t>
            </w:r>
            <w:r w:rsidR="009908B8" w:rsidRPr="006314C9">
              <w:rPr>
                <w:rFonts w:cs="Times New Roman"/>
                <w:color w:val="000000"/>
                <w:sz w:val="20"/>
                <w:szCs w:val="20"/>
                <w:lang w:val="en-GB"/>
              </w:rPr>
              <w:t>7</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Nature Protection</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83/129/EEC </w:t>
            </w:r>
            <w:r w:rsidR="00B95D6A" w:rsidRPr="006314C9">
              <w:rPr>
                <w:rFonts w:cs="Times New Roman"/>
                <w:b/>
                <w:color w:val="000000"/>
                <w:sz w:val="20"/>
                <w:szCs w:val="20"/>
                <w:lang w:val="en-GB"/>
              </w:rPr>
              <w:t>Skins</w:t>
            </w:r>
          </w:p>
        </w:tc>
        <w:tc>
          <w:tcPr>
            <w:tcW w:w="1730" w:type="dxa"/>
            <w:tcBorders>
              <w:top w:val="nil"/>
              <w:left w:val="nil"/>
              <w:bottom w:val="single" w:sz="4" w:space="0" w:color="auto"/>
              <w:right w:val="single" w:sz="4" w:space="0" w:color="auto"/>
            </w:tcBorders>
            <w:shd w:val="clear" w:color="000000" w:fill="FFFFFF"/>
            <w:vAlign w:val="center"/>
            <w:hideMark/>
          </w:tcPr>
          <w:p w:rsidR="00590337" w:rsidRPr="006314C9" w:rsidRDefault="006233A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NAPA</w:t>
            </w:r>
          </w:p>
          <w:p w:rsidR="00694EE8" w:rsidRPr="006314C9" w:rsidRDefault="00694EE8" w:rsidP="00750C45">
            <w:pPr>
              <w:spacing w:beforeLines="60" w:afterLines="60"/>
              <w:jc w:val="center"/>
              <w:rPr>
                <w:rFonts w:eastAsia="Times New Roman" w:cs="Times New Roman"/>
                <w:color w:val="000000"/>
                <w:sz w:val="20"/>
                <w:szCs w:val="20"/>
                <w:lang w:val="en-GB"/>
              </w:rPr>
            </w:pP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6233A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7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Industrial Pollution Control</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MTE</w:t>
            </w:r>
          </w:p>
        </w:tc>
        <w:tc>
          <w:tcPr>
            <w:tcW w:w="1731" w:type="dxa"/>
            <w:tcBorders>
              <w:top w:val="single" w:sz="4" w:space="0" w:color="auto"/>
              <w:left w:val="nil"/>
              <w:bottom w:val="single" w:sz="4" w:space="0" w:color="auto"/>
              <w:right w:val="single" w:sz="4" w:space="0" w:color="auto"/>
            </w:tcBorders>
            <w:shd w:val="clear" w:color="auto" w:fill="auto"/>
            <w:vAlign w:val="center"/>
          </w:tcPr>
          <w:p w:rsidR="001970C3"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44.5</w:t>
            </w:r>
          </w:p>
        </w:tc>
        <w:tc>
          <w:tcPr>
            <w:tcW w:w="1750" w:type="dxa"/>
            <w:tcBorders>
              <w:top w:val="single" w:sz="4" w:space="0" w:color="auto"/>
              <w:left w:val="nil"/>
              <w:bottom w:val="single" w:sz="4" w:space="0" w:color="auto"/>
              <w:right w:val="single" w:sz="4" w:space="0" w:color="auto"/>
            </w:tcBorders>
            <w:shd w:val="clear" w:color="auto" w:fill="auto"/>
            <w:vAlign w:val="center"/>
          </w:tcPr>
          <w:p w:rsidR="00694EE8" w:rsidRPr="006314C9" w:rsidRDefault="00694EE8" w:rsidP="00750C45">
            <w:pPr>
              <w:spacing w:beforeLines="60" w:afterLines="60"/>
              <w:jc w:val="center"/>
              <w:rPr>
                <w:rFonts w:eastAsia="Times New Roman" w:cs="Times New Roman"/>
                <w:b/>
                <w:color w:val="000000"/>
                <w:sz w:val="24"/>
                <w:szCs w:val="24"/>
                <w:lang w:val="en-GB"/>
              </w:rPr>
            </w:pP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4</w:t>
            </w:r>
            <w:r w:rsidR="009908B8" w:rsidRPr="006314C9">
              <w:rPr>
                <w:rFonts w:cs="Times New Roman"/>
                <w:color w:val="000000"/>
                <w:sz w:val="20"/>
                <w:szCs w:val="20"/>
                <w:lang w:val="en-GB"/>
              </w:rPr>
              <w:t>8</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Industrial Pollution Control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2010/75/EU </w:t>
            </w:r>
            <w:r w:rsidR="00B95D6A" w:rsidRPr="006314C9">
              <w:rPr>
                <w:rFonts w:cs="Times New Roman"/>
                <w:b/>
                <w:i/>
                <w:color w:val="000000"/>
                <w:sz w:val="20"/>
                <w:szCs w:val="20"/>
                <w:lang w:val="en-GB"/>
              </w:rPr>
              <w:t>IED</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70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Advanced </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4</w:t>
            </w:r>
            <w:r w:rsidR="009908B8" w:rsidRPr="006314C9">
              <w:rPr>
                <w:rFonts w:cs="Times New Roman"/>
                <w:color w:val="000000"/>
                <w:sz w:val="20"/>
                <w:szCs w:val="20"/>
                <w:lang w:val="en-GB"/>
              </w:rPr>
              <w:t>9</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Industrial Pollution Control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2012/18/EU </w:t>
            </w:r>
            <w:proofErr w:type="spellStart"/>
            <w:r w:rsidR="00B95D6A" w:rsidRPr="006314C9">
              <w:rPr>
                <w:rFonts w:cs="Times New Roman"/>
                <w:b/>
                <w:i/>
                <w:color w:val="000000"/>
                <w:sz w:val="20"/>
                <w:szCs w:val="20"/>
                <w:lang w:val="en-GB"/>
              </w:rPr>
              <w:t>Seveso</w:t>
            </w:r>
            <w:proofErr w:type="spellEnd"/>
            <w:r w:rsidR="00B95D6A" w:rsidRPr="006314C9">
              <w:rPr>
                <w:rFonts w:cs="Times New Roman"/>
                <w:b/>
                <w:i/>
                <w:color w:val="000000"/>
                <w:sz w:val="20"/>
                <w:szCs w:val="20"/>
                <w:lang w:val="en-GB"/>
              </w:rPr>
              <w:t xml:space="preserve"> III</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8A5D40" w:rsidP="00750C45">
            <w:pPr>
              <w:spacing w:beforeLines="60" w:afterLines="60"/>
              <w:jc w:val="center"/>
              <w:rPr>
                <w:rFonts w:eastAsia="Times New Roman" w:cs="Times New Roman"/>
                <w:b/>
                <w:color w:val="000000"/>
                <w:sz w:val="20"/>
                <w:szCs w:val="20"/>
                <w:lang w:val="en-GB"/>
              </w:rPr>
            </w:pPr>
            <w:proofErr w:type="spellStart"/>
            <w:r w:rsidRPr="006314C9">
              <w:rPr>
                <w:rFonts w:eastAsia="Times New Roman" w:cs="Times New Roman"/>
                <w:color w:val="000000"/>
                <w:sz w:val="20"/>
                <w:szCs w:val="20"/>
                <w:lang w:val="en-GB"/>
              </w:rPr>
              <w:t>MTE</w:t>
            </w:r>
            <w:r w:rsidR="00F0450C" w:rsidRPr="00F0450C">
              <w:rPr>
                <w:rFonts w:eastAsia="Times New Roman" w:cs="Times New Roman"/>
                <w:color w:val="000000"/>
                <w:sz w:val="20"/>
                <w:szCs w:val="20"/>
                <w:lang w:val="en-GB"/>
              </w:rPr>
              <w:t>but</w:t>
            </w:r>
            <w:proofErr w:type="spellEnd"/>
            <w:r w:rsidR="00F0450C" w:rsidRPr="00F0450C">
              <w:rPr>
                <w:rFonts w:eastAsia="Times New Roman" w:cs="Times New Roman"/>
                <w:color w:val="000000"/>
                <w:sz w:val="20"/>
                <w:szCs w:val="20"/>
                <w:lang w:val="en-GB"/>
              </w:rPr>
              <w:t xml:space="preserve"> not completely defined</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9</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2C0B4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9908B8"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50</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Industrial Pollution </w:t>
            </w:r>
            <w:r w:rsidRPr="006314C9">
              <w:rPr>
                <w:rFonts w:cs="Times New Roman"/>
                <w:color w:val="000000"/>
                <w:sz w:val="20"/>
                <w:szCs w:val="20"/>
                <w:lang w:val="en-GB"/>
              </w:rPr>
              <w:lastRenderedPageBreak/>
              <w:t>Control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lastRenderedPageBreak/>
              <w:t xml:space="preserve">2004/42/EC </w:t>
            </w:r>
            <w:r w:rsidR="00B95D6A" w:rsidRPr="006314C9">
              <w:rPr>
                <w:rFonts w:cs="Times New Roman"/>
                <w:b/>
                <w:i/>
                <w:color w:val="000000"/>
                <w:sz w:val="20"/>
                <w:szCs w:val="20"/>
                <w:lang w:val="en-GB"/>
              </w:rPr>
              <w:t>VOCs Paints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8A5D40"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100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445553"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lastRenderedPageBreak/>
              <w:t>5</w:t>
            </w:r>
            <w:r w:rsidR="00B95D6A" w:rsidRPr="006314C9">
              <w:rPr>
                <w:rFonts w:cs="Times New Roman"/>
                <w:color w:val="000000"/>
                <w:sz w:val="20"/>
                <w:szCs w:val="20"/>
                <w:lang w:val="en-GB"/>
              </w:rPr>
              <w:t>1</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Industrial Pollution Control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 EC/66/2010 </w:t>
            </w:r>
            <w:r w:rsidRPr="006314C9">
              <w:rPr>
                <w:rFonts w:cs="Times New Roman"/>
                <w:b/>
                <w:bCs/>
                <w:i/>
                <w:color w:val="000000"/>
                <w:sz w:val="20"/>
                <w:szCs w:val="20"/>
                <w:lang w:val="en-GB"/>
              </w:rPr>
              <w:t>Eco-label</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41</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proofErr w:type="spellStart"/>
            <w:r w:rsidRPr="006314C9">
              <w:rPr>
                <w:rFonts w:eastAsia="Times New Roman" w:cs="Times New Roman"/>
                <w:color w:val="000000"/>
                <w:sz w:val="20"/>
                <w:szCs w:val="20"/>
                <w:lang w:val="en-GB"/>
              </w:rPr>
              <w:t>Initialstage</w:t>
            </w:r>
            <w:proofErr w:type="spellEnd"/>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5</w:t>
            </w:r>
            <w:r w:rsidR="00B95D6A" w:rsidRPr="006314C9">
              <w:rPr>
                <w:rFonts w:cs="Times New Roman"/>
                <w:color w:val="000000"/>
                <w:sz w:val="20"/>
                <w:szCs w:val="20"/>
                <w:lang w:val="en-GB"/>
              </w:rPr>
              <w:t>2</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Industrial Pollution Control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 EC/1221/2009 </w:t>
            </w:r>
            <w:r w:rsidRPr="006314C9">
              <w:rPr>
                <w:rFonts w:cs="Times New Roman"/>
                <w:b/>
                <w:bCs/>
                <w:i/>
                <w:color w:val="000000"/>
                <w:sz w:val="20"/>
                <w:szCs w:val="20"/>
                <w:lang w:val="en-GB"/>
              </w:rPr>
              <w:t>EMAS</w:t>
            </w:r>
            <w:r w:rsidRPr="006314C9">
              <w:rPr>
                <w:rFonts w:cs="Times New Roman"/>
                <w:i/>
                <w:color w:val="000000"/>
                <w:sz w:val="20"/>
                <w:szCs w:val="20"/>
                <w:lang w:val="en-GB"/>
              </w:rPr>
              <w:t>,</w:t>
            </w:r>
          </w:p>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2001/832/EU</w:t>
            </w:r>
            <w:r w:rsidRPr="006314C9">
              <w:rPr>
                <w:rFonts w:cs="Times New Roman"/>
                <w:b/>
                <w:i/>
                <w:color w:val="000000"/>
                <w:sz w:val="20"/>
                <w:szCs w:val="20"/>
                <w:lang w:val="en-GB"/>
              </w:rPr>
              <w:t>EMAS Global</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26</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5</w:t>
            </w:r>
            <w:r w:rsidR="009908B8" w:rsidRPr="006314C9">
              <w:rPr>
                <w:rFonts w:cs="Times New Roman"/>
                <w:color w:val="000000"/>
                <w:sz w:val="20"/>
                <w:szCs w:val="20"/>
                <w:lang w:val="en-GB"/>
              </w:rPr>
              <w:t>3</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Industrial Pollution Control</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 EU</w:t>
            </w:r>
            <w:r w:rsidR="00275300" w:rsidRPr="006314C9">
              <w:rPr>
                <w:rFonts w:cs="Times New Roman"/>
                <w:color w:val="000000"/>
                <w:sz w:val="20"/>
                <w:szCs w:val="20"/>
                <w:lang w:val="en-GB"/>
              </w:rPr>
              <w:t>/</w:t>
            </w:r>
            <w:r w:rsidRPr="006314C9">
              <w:rPr>
                <w:rFonts w:cs="Times New Roman"/>
                <w:color w:val="000000"/>
                <w:sz w:val="20"/>
                <w:szCs w:val="20"/>
                <w:lang w:val="en-GB"/>
              </w:rPr>
              <w:t xml:space="preserve">2015/2193 </w:t>
            </w:r>
            <w:r w:rsidR="00B95D6A" w:rsidRPr="006314C9">
              <w:rPr>
                <w:rFonts w:cs="Times New Roman"/>
                <w:b/>
                <w:bCs/>
                <w:i/>
                <w:color w:val="000000"/>
                <w:sz w:val="20"/>
                <w:szCs w:val="20"/>
                <w:lang w:val="en-GB"/>
              </w:rPr>
              <w:t>Medium Combustion Plants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EE67E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NEA</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21</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445553"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7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Chemicals</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MTE</w:t>
            </w:r>
          </w:p>
        </w:tc>
        <w:tc>
          <w:tcPr>
            <w:tcW w:w="1731" w:type="dxa"/>
            <w:tcBorders>
              <w:top w:val="single" w:sz="4" w:space="0" w:color="auto"/>
              <w:left w:val="nil"/>
              <w:bottom w:val="single" w:sz="4" w:space="0" w:color="auto"/>
              <w:right w:val="single" w:sz="4" w:space="0" w:color="auto"/>
            </w:tcBorders>
            <w:shd w:val="clear" w:color="auto" w:fill="auto"/>
            <w:vAlign w:val="center"/>
          </w:tcPr>
          <w:p w:rsidR="001970C3"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29.4</w:t>
            </w:r>
          </w:p>
        </w:tc>
        <w:tc>
          <w:tcPr>
            <w:tcW w:w="1750" w:type="dxa"/>
            <w:tcBorders>
              <w:top w:val="single" w:sz="4" w:space="0" w:color="auto"/>
              <w:left w:val="nil"/>
              <w:bottom w:val="single" w:sz="4" w:space="0" w:color="auto"/>
              <w:right w:val="single" w:sz="4" w:space="0" w:color="auto"/>
            </w:tcBorders>
            <w:shd w:val="clear" w:color="auto" w:fill="auto"/>
            <w:vAlign w:val="center"/>
          </w:tcPr>
          <w:p w:rsidR="00694EE8" w:rsidRPr="006314C9" w:rsidRDefault="00694EE8" w:rsidP="00750C45">
            <w:pPr>
              <w:spacing w:beforeLines="60" w:afterLines="60"/>
              <w:jc w:val="center"/>
              <w:rPr>
                <w:rFonts w:eastAsia="Times New Roman" w:cs="Times New Roman"/>
                <w:b/>
                <w:color w:val="000000"/>
                <w:sz w:val="24"/>
                <w:szCs w:val="24"/>
                <w:lang w:val="en-GB"/>
              </w:rPr>
            </w:pP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5</w:t>
            </w:r>
            <w:r w:rsidR="00B95D6A" w:rsidRPr="006314C9">
              <w:rPr>
                <w:rFonts w:cs="Times New Roman"/>
                <w:color w:val="000000"/>
                <w:sz w:val="20"/>
                <w:szCs w:val="20"/>
                <w:lang w:val="en-GB"/>
              </w:rPr>
              <w:t>4</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Chemicals</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2010/63/EU </w:t>
            </w:r>
            <w:r w:rsidRPr="006314C9">
              <w:rPr>
                <w:rFonts w:cs="Times New Roman"/>
                <w:b/>
                <w:i/>
                <w:color w:val="000000"/>
                <w:sz w:val="20"/>
                <w:szCs w:val="20"/>
                <w:lang w:val="en-GB"/>
              </w:rPr>
              <w:t>Welfare of Experimental Animals</w:t>
            </w:r>
          </w:p>
        </w:tc>
        <w:tc>
          <w:tcPr>
            <w:tcW w:w="1730" w:type="dxa"/>
            <w:tcBorders>
              <w:top w:val="nil"/>
              <w:left w:val="nil"/>
              <w:bottom w:val="single" w:sz="4" w:space="0" w:color="auto"/>
              <w:right w:val="single" w:sz="4" w:space="0" w:color="auto"/>
            </w:tcBorders>
            <w:shd w:val="clear" w:color="000000" w:fill="FFFFFF"/>
            <w:vAlign w:val="center"/>
            <w:hideMark/>
          </w:tcPr>
          <w:p w:rsidR="001970C3" w:rsidRPr="006314C9" w:rsidRDefault="00B95D6A" w:rsidP="00750C45">
            <w:pPr>
              <w:spacing w:beforeLines="60" w:afterLines="60"/>
              <w:jc w:val="center"/>
              <w:rPr>
                <w:rFonts w:eastAsia="Times New Roman" w:cs="Times New Roman"/>
                <w:color w:val="000000"/>
                <w:sz w:val="20"/>
                <w:szCs w:val="20"/>
                <w:lang w:val="en-GB"/>
              </w:rPr>
            </w:pPr>
            <w:proofErr w:type="spellStart"/>
            <w:r w:rsidRPr="006314C9">
              <w:rPr>
                <w:rFonts w:eastAsia="Times New Roman" w:cs="Times New Roman"/>
                <w:color w:val="000000"/>
                <w:sz w:val="20"/>
                <w:szCs w:val="20"/>
                <w:lang w:val="en-GB"/>
              </w:rPr>
              <w:t>MARD</w:t>
            </w:r>
            <w:r w:rsidR="00F0450C" w:rsidRPr="00F0450C">
              <w:rPr>
                <w:rFonts w:eastAsia="Times New Roman" w:cs="Times New Roman"/>
                <w:color w:val="000000"/>
                <w:sz w:val="20"/>
                <w:szCs w:val="20"/>
                <w:lang w:val="en-GB"/>
              </w:rPr>
              <w:t>but</w:t>
            </w:r>
            <w:proofErr w:type="spellEnd"/>
            <w:r w:rsidR="00F0450C" w:rsidRPr="00F0450C">
              <w:rPr>
                <w:rFonts w:eastAsia="Times New Roman" w:cs="Times New Roman"/>
                <w:color w:val="000000"/>
                <w:sz w:val="20"/>
                <w:szCs w:val="20"/>
                <w:lang w:val="en-GB"/>
              </w:rPr>
              <w:t xml:space="preserve"> not completely defined</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20</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5</w:t>
            </w:r>
            <w:r w:rsidR="00B95D6A" w:rsidRPr="006314C9">
              <w:rPr>
                <w:rFonts w:cs="Times New Roman"/>
                <w:color w:val="000000"/>
                <w:sz w:val="20"/>
                <w:szCs w:val="20"/>
                <w:lang w:val="en-GB"/>
              </w:rPr>
              <w:t>5</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Chemicals</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87/217/EEC </w:t>
            </w:r>
            <w:r w:rsidRPr="006314C9">
              <w:rPr>
                <w:rFonts w:cs="Times New Roman"/>
                <w:b/>
                <w:i/>
                <w:color w:val="000000"/>
                <w:sz w:val="20"/>
                <w:szCs w:val="20"/>
                <w:lang w:val="en-GB"/>
              </w:rPr>
              <w:t>Asbestos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r w:rsidR="00EE67E9" w:rsidRPr="006314C9">
              <w:rPr>
                <w:rFonts w:eastAsia="Times New Roman" w:cs="Times New Roman"/>
                <w:color w:val="000000"/>
                <w:sz w:val="20"/>
                <w:szCs w:val="20"/>
                <w:lang w:val="en-GB"/>
              </w:rPr>
              <w:t xml:space="preserve"> / NEA</w:t>
            </w:r>
          </w:p>
        </w:tc>
        <w:tc>
          <w:tcPr>
            <w:tcW w:w="1731" w:type="dxa"/>
            <w:tcBorders>
              <w:top w:val="nil"/>
              <w:left w:val="nil"/>
              <w:bottom w:val="single" w:sz="4" w:space="0" w:color="auto"/>
              <w:right w:val="single" w:sz="4" w:space="0" w:color="auto"/>
            </w:tcBorders>
            <w:shd w:val="clear" w:color="000000" w:fill="FFFFFF"/>
            <w:vAlign w:val="center"/>
          </w:tcPr>
          <w:p w:rsidR="001970C3" w:rsidRPr="006314C9" w:rsidRDefault="00953D5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56</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Chemicals</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528/2012/EU </w:t>
            </w:r>
            <w:r w:rsidRPr="006314C9">
              <w:rPr>
                <w:rFonts w:cs="Times New Roman"/>
                <w:b/>
                <w:i/>
                <w:color w:val="000000"/>
                <w:sz w:val="20"/>
                <w:szCs w:val="20"/>
                <w:lang w:val="en-GB"/>
              </w:rPr>
              <w:t>Biocides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Ministry of Health and Social Affairs (MHSA)</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9</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Initial stage</w:t>
            </w:r>
          </w:p>
        </w:tc>
      </w:tr>
      <w:tr w:rsidR="00EE67E9" w:rsidRPr="006314C9" w:rsidTr="00694EE8">
        <w:tc>
          <w:tcPr>
            <w:tcW w:w="625" w:type="dxa"/>
            <w:tcBorders>
              <w:top w:val="nil"/>
              <w:left w:val="single" w:sz="4" w:space="0" w:color="auto"/>
              <w:bottom w:val="single" w:sz="4" w:space="0" w:color="auto"/>
              <w:right w:val="single" w:sz="4" w:space="0" w:color="auto"/>
            </w:tcBorders>
            <w:shd w:val="clear" w:color="auto" w:fill="auto"/>
            <w:vAlign w:val="center"/>
            <w:hideMark/>
          </w:tcPr>
          <w:p w:rsidR="00EE67E9" w:rsidRPr="006314C9" w:rsidRDefault="00EE67E9"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57</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EE67E9"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Chemicals</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EE67E9"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EC/649/2012 </w:t>
            </w:r>
            <w:r w:rsidR="00B95D6A" w:rsidRPr="006314C9">
              <w:rPr>
                <w:rFonts w:cs="Times New Roman"/>
                <w:b/>
                <w:i/>
                <w:color w:val="000000"/>
                <w:sz w:val="20"/>
                <w:szCs w:val="20"/>
                <w:lang w:val="en-GB"/>
              </w:rPr>
              <w:t>PIC Regulation</w:t>
            </w:r>
          </w:p>
        </w:tc>
        <w:tc>
          <w:tcPr>
            <w:tcW w:w="1730" w:type="dxa"/>
            <w:tcBorders>
              <w:top w:val="nil"/>
              <w:left w:val="nil"/>
              <w:bottom w:val="single" w:sz="4" w:space="0" w:color="auto"/>
              <w:right w:val="single" w:sz="4" w:space="0" w:color="auto"/>
            </w:tcBorders>
            <w:shd w:val="clear" w:color="000000" w:fill="FFFFFF"/>
            <w:hideMark/>
          </w:tcPr>
          <w:p w:rsidR="00694EE8" w:rsidRPr="006314C9" w:rsidRDefault="00EE67E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 / NEA</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EE67E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96</w:t>
            </w:r>
          </w:p>
        </w:tc>
        <w:tc>
          <w:tcPr>
            <w:tcW w:w="1750" w:type="dxa"/>
            <w:tcBorders>
              <w:top w:val="nil"/>
              <w:left w:val="nil"/>
              <w:bottom w:val="single" w:sz="4" w:space="0" w:color="auto"/>
              <w:right w:val="single" w:sz="4" w:space="0" w:color="auto"/>
            </w:tcBorders>
            <w:shd w:val="clear" w:color="000000" w:fill="FFFFFF"/>
            <w:vAlign w:val="center"/>
          </w:tcPr>
          <w:p w:rsidR="00EE67E9" w:rsidRPr="006314C9" w:rsidRDefault="00EE67E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Partly implemented</w:t>
            </w:r>
          </w:p>
        </w:tc>
      </w:tr>
      <w:tr w:rsidR="00EE67E9" w:rsidRPr="006314C9" w:rsidTr="00694EE8">
        <w:tc>
          <w:tcPr>
            <w:tcW w:w="625" w:type="dxa"/>
            <w:tcBorders>
              <w:top w:val="nil"/>
              <w:left w:val="single" w:sz="4" w:space="0" w:color="auto"/>
              <w:bottom w:val="single" w:sz="4" w:space="0" w:color="auto"/>
              <w:right w:val="single" w:sz="4" w:space="0" w:color="auto"/>
            </w:tcBorders>
            <w:shd w:val="clear" w:color="auto" w:fill="auto"/>
            <w:vAlign w:val="center"/>
            <w:hideMark/>
          </w:tcPr>
          <w:p w:rsidR="00EE67E9" w:rsidRPr="006314C9" w:rsidRDefault="00EE67E9"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58</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EE67E9"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Chemicals</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EE67E9"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EC/1907/2006 </w:t>
            </w:r>
            <w:r w:rsidR="00B95D6A" w:rsidRPr="006314C9">
              <w:rPr>
                <w:rFonts w:cs="Times New Roman"/>
                <w:b/>
                <w:bCs/>
                <w:i/>
                <w:color w:val="000000"/>
                <w:sz w:val="20"/>
                <w:szCs w:val="20"/>
                <w:lang w:val="en-GB"/>
              </w:rPr>
              <w:t>REACH</w:t>
            </w:r>
          </w:p>
        </w:tc>
        <w:tc>
          <w:tcPr>
            <w:tcW w:w="1730" w:type="dxa"/>
            <w:tcBorders>
              <w:top w:val="nil"/>
              <w:left w:val="nil"/>
              <w:bottom w:val="single" w:sz="4" w:space="0" w:color="auto"/>
              <w:right w:val="single" w:sz="4" w:space="0" w:color="auto"/>
            </w:tcBorders>
            <w:shd w:val="clear" w:color="000000" w:fill="FFFFFF"/>
            <w:hideMark/>
          </w:tcPr>
          <w:p w:rsidR="00694EE8" w:rsidRPr="006314C9" w:rsidRDefault="00EE67E9" w:rsidP="00750C45">
            <w:pPr>
              <w:spacing w:beforeLines="60" w:afterLines="60"/>
              <w:jc w:val="center"/>
              <w:rPr>
                <w:rFonts w:eastAsia="Times New Roman" w:cs="Times New Roman"/>
                <w:color w:val="000000"/>
                <w:sz w:val="20"/>
                <w:szCs w:val="20"/>
                <w:highlight w:val="green"/>
                <w:lang w:val="en-GB"/>
              </w:rPr>
            </w:pPr>
            <w:r w:rsidRPr="006314C9">
              <w:rPr>
                <w:rFonts w:eastAsia="Times New Roman" w:cs="Times New Roman"/>
                <w:color w:val="000000"/>
                <w:sz w:val="20"/>
                <w:szCs w:val="20"/>
                <w:lang w:val="en-GB"/>
              </w:rPr>
              <w:t>MTE / NEA</w:t>
            </w:r>
          </w:p>
        </w:tc>
        <w:tc>
          <w:tcPr>
            <w:tcW w:w="1731" w:type="dxa"/>
            <w:tcBorders>
              <w:top w:val="nil"/>
              <w:left w:val="nil"/>
              <w:bottom w:val="single" w:sz="4" w:space="0" w:color="auto"/>
              <w:right w:val="single" w:sz="4" w:space="0" w:color="auto"/>
            </w:tcBorders>
            <w:shd w:val="clear" w:color="000000" w:fill="FFFFFF"/>
            <w:vAlign w:val="center"/>
          </w:tcPr>
          <w:p w:rsidR="00EE67E9" w:rsidRPr="006314C9" w:rsidRDefault="00EE67E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20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EE67E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Initial stage</w:t>
            </w:r>
          </w:p>
        </w:tc>
      </w:tr>
      <w:tr w:rsidR="00EE67E9" w:rsidRPr="006314C9" w:rsidTr="00694EE8">
        <w:tc>
          <w:tcPr>
            <w:tcW w:w="625" w:type="dxa"/>
            <w:tcBorders>
              <w:top w:val="nil"/>
              <w:left w:val="single" w:sz="4" w:space="0" w:color="auto"/>
              <w:bottom w:val="single" w:sz="4" w:space="0" w:color="auto"/>
              <w:right w:val="single" w:sz="4" w:space="0" w:color="auto"/>
            </w:tcBorders>
            <w:shd w:val="clear" w:color="auto" w:fill="auto"/>
            <w:vAlign w:val="center"/>
            <w:hideMark/>
          </w:tcPr>
          <w:p w:rsidR="00EE67E9" w:rsidRPr="006314C9" w:rsidRDefault="00EE67E9"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lastRenderedPageBreak/>
              <w:t>59</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EE67E9"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Chemicals</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EE67E9"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EC/1272/2008 </w:t>
            </w:r>
            <w:r w:rsidR="00B95D6A" w:rsidRPr="006314C9">
              <w:rPr>
                <w:rFonts w:cs="Times New Roman"/>
                <w:b/>
                <w:i/>
                <w:color w:val="000000"/>
                <w:sz w:val="20"/>
                <w:szCs w:val="20"/>
                <w:lang w:val="en-GB"/>
              </w:rPr>
              <w:t>CLP</w:t>
            </w:r>
          </w:p>
        </w:tc>
        <w:tc>
          <w:tcPr>
            <w:tcW w:w="1730" w:type="dxa"/>
            <w:tcBorders>
              <w:top w:val="nil"/>
              <w:left w:val="nil"/>
              <w:bottom w:val="single" w:sz="4" w:space="0" w:color="auto"/>
              <w:right w:val="single" w:sz="4" w:space="0" w:color="auto"/>
            </w:tcBorders>
            <w:shd w:val="clear" w:color="000000" w:fill="FFFFFF"/>
            <w:hideMark/>
          </w:tcPr>
          <w:p w:rsidR="00694EE8" w:rsidRPr="006314C9" w:rsidRDefault="00EE67E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 / NEA</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EE67E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41</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EE67E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Initial stage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9908B8"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60</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Industrial Pollution Control &amp; Chemicals</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EU</w:t>
            </w:r>
            <w:r w:rsidR="004F7E83" w:rsidRPr="006314C9">
              <w:rPr>
                <w:rFonts w:cs="Times New Roman"/>
                <w:color w:val="000000"/>
                <w:sz w:val="20"/>
                <w:szCs w:val="20"/>
                <w:lang w:val="en-GB"/>
              </w:rPr>
              <w:t>/</w:t>
            </w:r>
            <w:r w:rsidRPr="006314C9">
              <w:rPr>
                <w:rFonts w:cs="Times New Roman"/>
                <w:color w:val="000000"/>
                <w:sz w:val="20"/>
                <w:szCs w:val="20"/>
                <w:lang w:val="en-GB"/>
              </w:rPr>
              <w:t xml:space="preserve">2017/852 </w:t>
            </w:r>
            <w:r w:rsidR="00B95D6A" w:rsidRPr="006314C9">
              <w:rPr>
                <w:rFonts w:cs="Times New Roman"/>
                <w:b/>
                <w:i/>
                <w:color w:val="000000"/>
                <w:sz w:val="20"/>
                <w:szCs w:val="20"/>
                <w:lang w:val="en-GB"/>
              </w:rPr>
              <w:t>Mercury</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EE67E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 / NEA</w:t>
            </w:r>
          </w:p>
        </w:tc>
        <w:tc>
          <w:tcPr>
            <w:tcW w:w="1731" w:type="dxa"/>
            <w:tcBorders>
              <w:top w:val="nil"/>
              <w:left w:val="nil"/>
              <w:bottom w:val="single" w:sz="4" w:space="0" w:color="auto"/>
              <w:right w:val="single" w:sz="4" w:space="0" w:color="auto"/>
            </w:tcBorders>
            <w:shd w:val="clear" w:color="000000" w:fill="FFFFFF"/>
            <w:vAlign w:val="center"/>
          </w:tcPr>
          <w:p w:rsidR="001970C3" w:rsidRPr="006314C9" w:rsidRDefault="00953D59"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445553"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7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Noise</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MTE</w:t>
            </w:r>
          </w:p>
        </w:tc>
        <w:tc>
          <w:tcPr>
            <w:tcW w:w="1731" w:type="dxa"/>
            <w:tcBorders>
              <w:top w:val="single" w:sz="4" w:space="0" w:color="auto"/>
              <w:left w:val="nil"/>
              <w:bottom w:val="single" w:sz="4" w:space="0" w:color="auto"/>
              <w:right w:val="single" w:sz="4" w:space="0" w:color="auto"/>
            </w:tcBorders>
            <w:shd w:val="clear" w:color="auto" w:fill="auto"/>
            <w:vAlign w:val="center"/>
          </w:tcPr>
          <w:p w:rsidR="00694EE8"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86</w:t>
            </w:r>
          </w:p>
        </w:tc>
        <w:tc>
          <w:tcPr>
            <w:tcW w:w="1750" w:type="dxa"/>
            <w:tcBorders>
              <w:top w:val="single" w:sz="4" w:space="0" w:color="auto"/>
              <w:left w:val="nil"/>
              <w:bottom w:val="single" w:sz="4" w:space="0" w:color="auto"/>
              <w:right w:val="single" w:sz="4" w:space="0" w:color="auto"/>
            </w:tcBorders>
            <w:shd w:val="clear" w:color="auto" w:fill="auto"/>
            <w:vAlign w:val="center"/>
          </w:tcPr>
          <w:p w:rsidR="00694EE8" w:rsidRPr="006314C9" w:rsidRDefault="00694EE8" w:rsidP="00750C45">
            <w:pPr>
              <w:spacing w:beforeLines="60" w:afterLines="60"/>
              <w:jc w:val="center"/>
              <w:rPr>
                <w:rFonts w:eastAsia="Times New Roman" w:cs="Times New Roman"/>
                <w:b/>
                <w:color w:val="000000"/>
                <w:sz w:val="24"/>
                <w:szCs w:val="24"/>
                <w:lang w:val="en-GB"/>
              </w:rPr>
            </w:pP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6</w:t>
            </w:r>
            <w:r w:rsidR="009908B8" w:rsidRPr="006314C9">
              <w:rPr>
                <w:rFonts w:cs="Times New Roman"/>
                <w:color w:val="000000"/>
                <w:sz w:val="20"/>
                <w:szCs w:val="20"/>
                <w:lang w:val="en-GB"/>
              </w:rPr>
              <w:t>1</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Noise</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D 2002/49/EC </w:t>
            </w:r>
            <w:r w:rsidR="00B95D6A" w:rsidRPr="006314C9">
              <w:rPr>
                <w:rFonts w:cs="Times New Roman"/>
                <w:b/>
                <w:bCs/>
                <w:i/>
                <w:color w:val="000000"/>
                <w:sz w:val="20"/>
                <w:szCs w:val="20"/>
                <w:lang w:val="en-GB"/>
              </w:rPr>
              <w:t>Environmental Noise</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86</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1A4CD5"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79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Climate Change</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MTE</w:t>
            </w:r>
          </w:p>
        </w:tc>
        <w:tc>
          <w:tcPr>
            <w:tcW w:w="1731" w:type="dxa"/>
            <w:tcBorders>
              <w:top w:val="single" w:sz="4" w:space="0" w:color="auto"/>
              <w:left w:val="nil"/>
              <w:bottom w:val="single" w:sz="4" w:space="0" w:color="auto"/>
              <w:right w:val="single" w:sz="4" w:space="0" w:color="auto"/>
            </w:tcBorders>
            <w:shd w:val="clear" w:color="auto" w:fill="auto"/>
            <w:vAlign w:val="center"/>
          </w:tcPr>
          <w:p w:rsidR="001970C3" w:rsidRPr="006314C9" w:rsidRDefault="00B95D6A" w:rsidP="00750C45">
            <w:pPr>
              <w:spacing w:beforeLines="60" w:afterLines="60"/>
              <w:jc w:val="center"/>
              <w:rPr>
                <w:rFonts w:eastAsia="Times New Roman" w:cs="Times New Roman"/>
                <w:b/>
                <w:color w:val="000000"/>
                <w:sz w:val="24"/>
                <w:szCs w:val="24"/>
                <w:lang w:val="en-GB"/>
              </w:rPr>
            </w:pPr>
            <w:r w:rsidRPr="006314C9">
              <w:rPr>
                <w:rFonts w:eastAsia="Times New Roman" w:cs="Times New Roman"/>
                <w:b/>
                <w:color w:val="000000"/>
                <w:sz w:val="24"/>
                <w:szCs w:val="24"/>
                <w:lang w:val="en-GB"/>
              </w:rPr>
              <w:t>12.2</w:t>
            </w:r>
          </w:p>
        </w:tc>
        <w:tc>
          <w:tcPr>
            <w:tcW w:w="1750" w:type="dxa"/>
            <w:tcBorders>
              <w:top w:val="single" w:sz="4" w:space="0" w:color="auto"/>
              <w:left w:val="nil"/>
              <w:bottom w:val="single" w:sz="4" w:space="0" w:color="auto"/>
              <w:right w:val="single" w:sz="4" w:space="0" w:color="auto"/>
            </w:tcBorders>
            <w:shd w:val="clear" w:color="auto" w:fill="auto"/>
            <w:vAlign w:val="center"/>
          </w:tcPr>
          <w:p w:rsidR="00694EE8" w:rsidRPr="006314C9" w:rsidRDefault="00694EE8" w:rsidP="00750C45">
            <w:pPr>
              <w:spacing w:beforeLines="60" w:afterLines="60"/>
              <w:jc w:val="center"/>
              <w:rPr>
                <w:rFonts w:eastAsia="Times New Roman" w:cs="Times New Roman"/>
                <w:b/>
                <w:color w:val="000000"/>
                <w:sz w:val="24"/>
                <w:szCs w:val="24"/>
                <w:lang w:val="en-GB"/>
              </w:rPr>
            </w:pP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6</w:t>
            </w:r>
            <w:r w:rsidR="00B95D6A" w:rsidRPr="006314C9">
              <w:rPr>
                <w:rFonts w:cs="Times New Roman"/>
                <w:color w:val="000000"/>
                <w:sz w:val="20"/>
                <w:szCs w:val="20"/>
                <w:lang w:val="en-GB"/>
              </w:rPr>
              <w:t>2</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Climate Change</w:t>
            </w:r>
          </w:p>
        </w:tc>
        <w:tc>
          <w:tcPr>
            <w:tcW w:w="5972" w:type="dxa"/>
            <w:tcBorders>
              <w:top w:val="nil"/>
              <w:left w:val="nil"/>
              <w:bottom w:val="single" w:sz="4" w:space="0" w:color="auto"/>
              <w:right w:val="single" w:sz="4" w:space="0" w:color="auto"/>
            </w:tcBorders>
            <w:shd w:val="clear" w:color="auto" w:fill="auto"/>
            <w:vAlign w:val="center"/>
            <w:hideMark/>
          </w:tcPr>
          <w:p w:rsidR="00590337"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Regulation 525/2013 </w:t>
            </w:r>
            <w:r w:rsidRPr="006314C9">
              <w:rPr>
                <w:rFonts w:cs="Times New Roman"/>
                <w:b/>
                <w:i/>
                <w:color w:val="000000"/>
                <w:sz w:val="20"/>
                <w:szCs w:val="20"/>
                <w:lang w:val="en-GB"/>
              </w:rPr>
              <w:t>Monitorin</w:t>
            </w:r>
            <w:r w:rsidR="00F72541" w:rsidRPr="006314C9">
              <w:rPr>
                <w:rFonts w:cs="Times New Roman"/>
                <w:b/>
                <w:i/>
                <w:color w:val="000000"/>
                <w:sz w:val="20"/>
                <w:szCs w:val="20"/>
                <w:lang w:val="en-GB"/>
              </w:rPr>
              <w:t>g</w:t>
            </w:r>
            <w:r w:rsidRPr="006314C9">
              <w:rPr>
                <w:rFonts w:cs="Times New Roman"/>
                <w:b/>
                <w:i/>
                <w:color w:val="000000"/>
                <w:sz w:val="20"/>
                <w:szCs w:val="20"/>
                <w:lang w:val="en-GB"/>
              </w:rPr>
              <w:t xml:space="preserve"> Mechanism</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590337" w:rsidRPr="006314C9" w:rsidRDefault="00EA12A1"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6</w:t>
            </w:r>
            <w:r w:rsidR="009908B8" w:rsidRPr="006314C9">
              <w:rPr>
                <w:rFonts w:cs="Times New Roman"/>
                <w:color w:val="000000"/>
                <w:sz w:val="20"/>
                <w:szCs w:val="20"/>
                <w:lang w:val="en-GB"/>
              </w:rPr>
              <w:t>3</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Climate Change</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2003/87/EC </w:t>
            </w:r>
          </w:p>
          <w:p w:rsidR="00694EE8" w:rsidRPr="006314C9" w:rsidRDefault="00B95D6A" w:rsidP="00750C45">
            <w:pPr>
              <w:spacing w:beforeLines="60" w:afterLines="60"/>
              <w:jc w:val="center"/>
              <w:rPr>
                <w:rFonts w:cs="Times New Roman"/>
                <w:b/>
                <w:i/>
                <w:color w:val="000000"/>
                <w:sz w:val="20"/>
                <w:szCs w:val="20"/>
                <w:lang w:val="en-GB"/>
              </w:rPr>
            </w:pPr>
            <w:r w:rsidRPr="006314C9">
              <w:rPr>
                <w:rFonts w:cs="Times New Roman"/>
                <w:b/>
                <w:i/>
                <w:color w:val="000000"/>
                <w:sz w:val="20"/>
                <w:szCs w:val="20"/>
                <w:lang w:val="en-GB"/>
              </w:rPr>
              <w:t>EU Emissions Trading System (EU ETS)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F72541"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D17BFB" w:rsidRPr="006314C9" w:rsidRDefault="00D17BFB"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64</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D17BFB"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Climate Change</w:t>
            </w:r>
          </w:p>
        </w:tc>
        <w:tc>
          <w:tcPr>
            <w:tcW w:w="5972" w:type="dxa"/>
            <w:tcBorders>
              <w:top w:val="nil"/>
              <w:left w:val="nil"/>
              <w:bottom w:val="single" w:sz="4" w:space="0" w:color="auto"/>
              <w:right w:val="single" w:sz="4" w:space="0" w:color="auto"/>
            </w:tcBorders>
            <w:shd w:val="clear" w:color="auto" w:fill="auto"/>
            <w:vAlign w:val="center"/>
            <w:hideMark/>
          </w:tcPr>
          <w:p w:rsidR="00D17BFB" w:rsidRPr="006314C9" w:rsidRDefault="002F0A16" w:rsidP="00750C45">
            <w:pPr>
              <w:spacing w:beforeLines="60" w:afterLines="60"/>
              <w:jc w:val="center"/>
              <w:rPr>
                <w:rFonts w:cs="Times New Roman"/>
                <w:color w:val="000000"/>
                <w:sz w:val="20"/>
                <w:szCs w:val="20"/>
                <w:lang w:val="en-GB"/>
              </w:rPr>
            </w:pPr>
            <w:r w:rsidRPr="006314C9">
              <w:rPr>
                <w:rFonts w:eastAsia="Times New Roman" w:cs="Times New Roman"/>
                <w:sz w:val="20"/>
                <w:szCs w:val="20"/>
                <w:lang w:val="en-GB"/>
              </w:rPr>
              <w:t xml:space="preserve">2008/101/EC </w:t>
            </w:r>
            <w:r w:rsidR="00F72541" w:rsidRPr="006314C9">
              <w:rPr>
                <w:rFonts w:eastAsia="Times New Roman" w:cs="Times New Roman"/>
                <w:b/>
                <w:sz w:val="20"/>
                <w:szCs w:val="20"/>
                <w:lang w:val="en-GB"/>
              </w:rPr>
              <w:t xml:space="preserve">Emissions Trading </w:t>
            </w:r>
            <w:r w:rsidR="00B95D6A" w:rsidRPr="006314C9">
              <w:rPr>
                <w:rFonts w:eastAsia="Times New Roman" w:cs="Times New Roman"/>
                <w:b/>
                <w:sz w:val="20"/>
                <w:szCs w:val="20"/>
                <w:lang w:val="en-GB"/>
              </w:rPr>
              <w:t>S</w:t>
            </w:r>
            <w:r w:rsidR="00F72541" w:rsidRPr="006314C9">
              <w:rPr>
                <w:rFonts w:eastAsia="Times New Roman" w:cs="Times New Roman"/>
                <w:b/>
                <w:sz w:val="20"/>
                <w:szCs w:val="20"/>
                <w:lang w:val="en-GB"/>
              </w:rPr>
              <w:t>ystem</w:t>
            </w:r>
            <w:r w:rsidR="00B95D6A" w:rsidRPr="006314C9">
              <w:rPr>
                <w:rFonts w:eastAsia="Times New Roman" w:cs="Times New Roman"/>
                <w:b/>
                <w:sz w:val="20"/>
                <w:szCs w:val="20"/>
                <w:lang w:val="en-GB"/>
              </w:rPr>
              <w:t xml:space="preserve"> Aviation Activities</w:t>
            </w:r>
            <w:r w:rsidR="00F72541" w:rsidRPr="006314C9">
              <w:rPr>
                <w:rFonts w:eastAsia="Times New Roman" w:cs="Times New Roman"/>
                <w:sz w:val="20"/>
                <w:szCs w:val="20"/>
                <w:lang w:val="en-GB"/>
              </w:rPr>
              <w:t>(</w:t>
            </w:r>
            <w:r w:rsidR="00F72541" w:rsidRPr="006314C9">
              <w:rPr>
                <w:rFonts w:eastAsia="Times New Roman" w:cs="Times New Roman"/>
                <w:b/>
                <w:sz w:val="20"/>
                <w:szCs w:val="20"/>
                <w:lang w:val="en-GB"/>
              </w:rPr>
              <w:t>EU ETS )</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D17BFB"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F72541"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6</w:t>
            </w:r>
            <w:r w:rsidR="00D17BFB" w:rsidRPr="006314C9">
              <w:rPr>
                <w:rFonts w:cs="Times New Roman"/>
                <w:color w:val="000000"/>
                <w:sz w:val="20"/>
                <w:szCs w:val="20"/>
                <w:lang w:val="en-GB"/>
              </w:rPr>
              <w:t>5</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sz w:val="20"/>
                <w:szCs w:val="20"/>
                <w:lang w:val="en-GB"/>
              </w:rPr>
            </w:pPr>
            <w:r w:rsidRPr="006314C9">
              <w:rPr>
                <w:rFonts w:cs="Times New Roman"/>
                <w:color w:val="000000"/>
                <w:sz w:val="20"/>
                <w:szCs w:val="20"/>
                <w:lang w:val="en-GB"/>
              </w:rPr>
              <w:t>Climate Change</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406/2009/EC </w:t>
            </w:r>
            <w:r w:rsidR="00B95D6A" w:rsidRPr="006314C9">
              <w:rPr>
                <w:rFonts w:cs="Times New Roman"/>
                <w:b/>
                <w:i/>
                <w:color w:val="000000"/>
                <w:sz w:val="20"/>
                <w:szCs w:val="20"/>
                <w:lang w:val="en-GB"/>
              </w:rPr>
              <w:t>Effort Sharing Decision</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EA12A1"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157761" w:rsidRPr="006314C9" w:rsidRDefault="00157761"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6</w:t>
            </w:r>
            <w:r w:rsidR="006446BE" w:rsidRPr="006314C9">
              <w:rPr>
                <w:rFonts w:cs="Times New Roman"/>
                <w:color w:val="000000"/>
                <w:sz w:val="20"/>
                <w:szCs w:val="20"/>
                <w:lang w:val="en-GB"/>
              </w:rPr>
              <w:t>6</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157761"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Climate Change</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157761" w:rsidP="00750C45">
            <w:pPr>
              <w:spacing w:beforeLines="60" w:afterLines="60"/>
              <w:jc w:val="center"/>
              <w:rPr>
                <w:rFonts w:cs="Times New Roman"/>
                <w:color w:val="000000"/>
                <w:sz w:val="20"/>
                <w:szCs w:val="20"/>
                <w:highlight w:val="yellow"/>
                <w:lang w:val="en-GB"/>
              </w:rPr>
            </w:pPr>
            <w:r w:rsidRPr="006314C9">
              <w:rPr>
                <w:rFonts w:cs="Times New Roman"/>
                <w:color w:val="000000"/>
                <w:sz w:val="20"/>
                <w:szCs w:val="20"/>
                <w:lang w:val="en-GB"/>
              </w:rPr>
              <w:t xml:space="preserve">1005/2009/EC </w:t>
            </w:r>
            <w:r w:rsidR="00B95D6A" w:rsidRPr="006314C9">
              <w:rPr>
                <w:rFonts w:cs="Times New Roman"/>
                <w:b/>
                <w:i/>
                <w:color w:val="000000"/>
                <w:sz w:val="20"/>
                <w:szCs w:val="20"/>
                <w:lang w:val="en-GB"/>
              </w:rPr>
              <w:t>Ozone Depleting Substances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157761" w:rsidP="00750C45">
            <w:pPr>
              <w:spacing w:beforeLines="60" w:afterLines="60"/>
              <w:jc w:val="center"/>
              <w:rPr>
                <w:rFonts w:eastAsia="Times New Roman" w:cs="Times New Roman"/>
                <w:color w:val="000000"/>
                <w:sz w:val="20"/>
                <w:szCs w:val="20"/>
                <w:highlight w:val="green"/>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5735E5"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22.7</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5735E5"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Stage </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lastRenderedPageBreak/>
              <w:t>6</w:t>
            </w:r>
            <w:r w:rsidR="006446BE" w:rsidRPr="006314C9">
              <w:rPr>
                <w:rFonts w:cs="Times New Roman"/>
                <w:color w:val="000000"/>
                <w:sz w:val="20"/>
                <w:szCs w:val="20"/>
                <w:lang w:val="en-GB"/>
              </w:rPr>
              <w:t>7</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sz w:val="20"/>
                <w:szCs w:val="20"/>
                <w:lang w:val="en-GB"/>
              </w:rPr>
            </w:pPr>
            <w:r w:rsidRPr="006314C9">
              <w:rPr>
                <w:rFonts w:cs="Times New Roman"/>
                <w:color w:val="000000"/>
                <w:sz w:val="20"/>
                <w:szCs w:val="20"/>
                <w:lang w:val="en-GB"/>
              </w:rPr>
              <w:t>Climate Change</w:t>
            </w:r>
          </w:p>
        </w:tc>
        <w:tc>
          <w:tcPr>
            <w:tcW w:w="5972" w:type="dxa"/>
            <w:tcBorders>
              <w:top w:val="nil"/>
              <w:left w:val="nil"/>
              <w:bottom w:val="single" w:sz="4" w:space="0" w:color="auto"/>
              <w:right w:val="single" w:sz="4" w:space="0" w:color="auto"/>
            </w:tcBorders>
            <w:shd w:val="clear" w:color="auto" w:fill="auto"/>
            <w:vAlign w:val="center"/>
            <w:hideMark/>
          </w:tcPr>
          <w:p w:rsidR="001970C3" w:rsidRPr="006314C9" w:rsidRDefault="00EA12A1" w:rsidP="00750C45">
            <w:pPr>
              <w:spacing w:beforeLines="60" w:afterLines="60"/>
              <w:jc w:val="center"/>
              <w:rPr>
                <w:rFonts w:cs="Times New Roman"/>
                <w:color w:val="000000"/>
                <w:sz w:val="20"/>
                <w:szCs w:val="20"/>
                <w:lang w:val="en-GB"/>
              </w:rPr>
            </w:pPr>
            <w:r w:rsidRPr="006314C9">
              <w:rPr>
                <w:rFonts w:cs="Times New Roman"/>
                <w:sz w:val="20"/>
                <w:szCs w:val="20"/>
                <w:lang w:val="en-GB"/>
              </w:rPr>
              <w:t xml:space="preserve">Directive 2009/31/EC </w:t>
            </w:r>
            <w:r w:rsidRPr="006314C9">
              <w:rPr>
                <w:rFonts w:cs="Times New Roman"/>
                <w:b/>
                <w:i/>
                <w:sz w:val="20"/>
                <w:szCs w:val="20"/>
                <w:lang w:val="en-GB"/>
              </w:rPr>
              <w:t>Carbon Capture and Storage</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5735E5"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EA12A1"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6</w:t>
            </w:r>
            <w:r w:rsidR="006446BE" w:rsidRPr="006314C9">
              <w:rPr>
                <w:rFonts w:cs="Times New Roman"/>
                <w:color w:val="000000"/>
                <w:sz w:val="20"/>
                <w:szCs w:val="20"/>
                <w:lang w:val="en-GB"/>
              </w:rPr>
              <w:t>8</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sz w:val="20"/>
                <w:szCs w:val="20"/>
                <w:lang w:val="en-GB"/>
              </w:rPr>
            </w:pPr>
            <w:r w:rsidRPr="006314C9">
              <w:rPr>
                <w:rFonts w:cs="Times New Roman"/>
                <w:color w:val="000000"/>
                <w:sz w:val="20"/>
                <w:szCs w:val="20"/>
                <w:lang w:val="en-GB"/>
              </w:rPr>
              <w:t>Climate Change</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157761"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Regulation EU </w:t>
            </w:r>
            <w:r w:rsidR="002F0A16" w:rsidRPr="006314C9">
              <w:rPr>
                <w:rFonts w:cs="Times New Roman"/>
                <w:color w:val="000000"/>
                <w:sz w:val="20"/>
                <w:szCs w:val="20"/>
                <w:lang w:val="en-GB"/>
              </w:rPr>
              <w:t>517/2014</w:t>
            </w:r>
            <w:r w:rsidR="00B95D6A" w:rsidRPr="006314C9">
              <w:rPr>
                <w:rFonts w:cs="Times New Roman"/>
                <w:b/>
                <w:i/>
                <w:color w:val="000000"/>
                <w:sz w:val="20"/>
                <w:szCs w:val="20"/>
                <w:lang w:val="en-GB"/>
              </w:rPr>
              <w:t>Fluorinated Gases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MTE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5735E5"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79.1</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Initial </w:t>
            </w:r>
            <w:r w:rsidR="001A4CD5" w:rsidRPr="006314C9">
              <w:rPr>
                <w:rFonts w:eastAsia="Times New Roman" w:cs="Times New Roman"/>
                <w:color w:val="000000"/>
                <w:sz w:val="20"/>
                <w:szCs w:val="20"/>
                <w:lang w:val="en-GB"/>
              </w:rPr>
              <w:t>s</w:t>
            </w:r>
            <w:r w:rsidRPr="006314C9">
              <w:rPr>
                <w:rFonts w:eastAsia="Times New Roman" w:cs="Times New Roman"/>
                <w:color w:val="000000"/>
                <w:sz w:val="20"/>
                <w:szCs w:val="20"/>
                <w:lang w:val="en-GB"/>
              </w:rPr>
              <w:t>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6446BE"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69</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sz w:val="20"/>
                <w:szCs w:val="20"/>
                <w:lang w:val="en-GB"/>
              </w:rPr>
            </w:pPr>
            <w:r w:rsidRPr="006314C9">
              <w:rPr>
                <w:rFonts w:cs="Times New Roman"/>
                <w:color w:val="000000"/>
                <w:sz w:val="20"/>
                <w:szCs w:val="20"/>
                <w:lang w:val="en-GB"/>
              </w:rPr>
              <w:t>Climate Change</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98/70/EC </w:t>
            </w:r>
            <w:r w:rsidRPr="006314C9">
              <w:rPr>
                <w:rFonts w:cs="Times New Roman"/>
                <w:b/>
                <w:i/>
                <w:color w:val="000000"/>
                <w:sz w:val="20"/>
                <w:szCs w:val="20"/>
                <w:lang w:val="en-GB"/>
              </w:rPr>
              <w:t>Fuel Quality</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Ministry of Infrastructure and Energy (MIE)</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29</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Initial stage</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A04B3E" w:rsidRPr="006314C9" w:rsidRDefault="00A04B3E"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7</w:t>
            </w:r>
            <w:r w:rsidR="006446BE" w:rsidRPr="006314C9">
              <w:rPr>
                <w:rFonts w:cs="Times New Roman"/>
                <w:color w:val="000000"/>
                <w:sz w:val="20"/>
                <w:szCs w:val="20"/>
                <w:lang w:val="en-GB"/>
              </w:rPr>
              <w:t>0</w:t>
            </w:r>
          </w:p>
        </w:tc>
        <w:tc>
          <w:tcPr>
            <w:tcW w:w="1368" w:type="dxa"/>
            <w:tcBorders>
              <w:top w:val="nil"/>
              <w:left w:val="nil"/>
              <w:bottom w:val="single" w:sz="4" w:space="0" w:color="auto"/>
              <w:right w:val="single" w:sz="4" w:space="0" w:color="auto"/>
            </w:tcBorders>
            <w:shd w:val="clear" w:color="auto" w:fill="auto"/>
            <w:vAlign w:val="center"/>
            <w:hideMark/>
          </w:tcPr>
          <w:p w:rsidR="00A04B3E" w:rsidRPr="006314C9" w:rsidRDefault="00A04B3E"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Climate Change</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A04B3E"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DIRECTIVE 1999/94/EC </w:t>
            </w:r>
            <w:r w:rsidR="00B95D6A" w:rsidRPr="006314C9">
              <w:rPr>
                <w:rFonts w:cs="Times New Roman"/>
                <w:b/>
                <w:i/>
                <w:color w:val="000000"/>
                <w:sz w:val="20"/>
                <w:szCs w:val="20"/>
                <w:lang w:val="en-GB"/>
              </w:rPr>
              <w:t>CO2 emissions from cars and vans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F0450C" w:rsidP="00750C45">
            <w:pPr>
              <w:spacing w:beforeLines="60" w:afterLines="60"/>
              <w:jc w:val="center"/>
              <w:rPr>
                <w:rFonts w:eastAsia="Times New Roman" w:cs="Times New Roman"/>
                <w:color w:val="000000"/>
                <w:sz w:val="20"/>
                <w:szCs w:val="20"/>
                <w:lang w:val="en-GB"/>
              </w:rPr>
            </w:pPr>
            <w:r>
              <w:rPr>
                <w:rFonts w:eastAsia="Times New Roman" w:cs="Times New Roman"/>
                <w:color w:val="000000"/>
                <w:sz w:val="20"/>
                <w:szCs w:val="20"/>
                <w:lang w:val="en-GB"/>
              </w:rPr>
              <w:t>N</w:t>
            </w:r>
            <w:r w:rsidRPr="00F0450C">
              <w:rPr>
                <w:rFonts w:eastAsia="Times New Roman" w:cs="Times New Roman"/>
                <w:color w:val="000000"/>
                <w:sz w:val="20"/>
                <w:szCs w:val="20"/>
                <w:lang w:val="en-GB"/>
              </w:rPr>
              <w:t>ot defined</w:t>
            </w:r>
            <w:r>
              <w:rPr>
                <w:rFonts w:eastAsia="Times New Roman" w:cs="Times New Roman"/>
                <w:color w:val="000000"/>
                <w:sz w:val="20"/>
                <w:szCs w:val="20"/>
                <w:lang w:val="en-GB"/>
              </w:rPr>
              <w:t xml:space="preserve"> yet</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5735E5"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15.6</w:t>
            </w:r>
          </w:p>
        </w:tc>
        <w:tc>
          <w:tcPr>
            <w:tcW w:w="1750" w:type="dxa"/>
            <w:tcBorders>
              <w:top w:val="nil"/>
              <w:left w:val="nil"/>
              <w:bottom w:val="single" w:sz="4" w:space="0" w:color="auto"/>
              <w:right w:val="single" w:sz="4" w:space="0" w:color="auto"/>
            </w:tcBorders>
            <w:shd w:val="clear" w:color="000000" w:fill="FFFFFF"/>
            <w:vAlign w:val="center"/>
          </w:tcPr>
          <w:p w:rsidR="00694EE8" w:rsidRPr="006314C9" w:rsidRDefault="00EA12A1"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9537A"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590337" w:rsidRPr="006314C9" w:rsidRDefault="00D17BFB"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7</w:t>
            </w:r>
            <w:r w:rsidR="006446BE" w:rsidRPr="006314C9">
              <w:rPr>
                <w:rFonts w:cs="Times New Roman"/>
                <w:color w:val="000000"/>
                <w:sz w:val="20"/>
                <w:szCs w:val="20"/>
                <w:lang w:val="en-GB"/>
              </w:rPr>
              <w:t>1</w:t>
            </w:r>
            <w:r w:rsidRPr="006314C9">
              <w:rPr>
                <w:rFonts w:cs="Times New Roman"/>
                <w:color w:val="000000"/>
                <w:sz w:val="20"/>
                <w:szCs w:val="20"/>
                <w:lang w:val="en-GB"/>
              </w:rPr>
              <w:t>*</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sz w:val="20"/>
                <w:szCs w:val="20"/>
                <w:lang w:val="en-GB"/>
              </w:rPr>
            </w:pPr>
            <w:r w:rsidRPr="006314C9">
              <w:rPr>
                <w:rFonts w:cs="Times New Roman"/>
                <w:color w:val="000000"/>
                <w:sz w:val="20"/>
                <w:szCs w:val="20"/>
                <w:lang w:val="en-GB"/>
              </w:rPr>
              <w:t>Climate Change</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2F0A16"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REGULATION (EC) 443/2009 </w:t>
            </w:r>
            <w:r w:rsidR="00B95D6A" w:rsidRPr="006314C9">
              <w:rPr>
                <w:rFonts w:cs="Times New Roman"/>
                <w:b/>
                <w:i/>
                <w:color w:val="000000"/>
                <w:sz w:val="20"/>
                <w:szCs w:val="20"/>
                <w:lang w:val="en-GB"/>
              </w:rPr>
              <w:t>New passenger cars</w:t>
            </w:r>
          </w:p>
        </w:tc>
        <w:tc>
          <w:tcPr>
            <w:tcW w:w="1730" w:type="dxa"/>
            <w:tcBorders>
              <w:top w:val="nil"/>
              <w:left w:val="nil"/>
              <w:bottom w:val="single" w:sz="4" w:space="0" w:color="auto"/>
              <w:right w:val="single" w:sz="4" w:space="0" w:color="auto"/>
            </w:tcBorders>
            <w:shd w:val="clear" w:color="000000" w:fill="FFFFFF"/>
            <w:vAlign w:val="center"/>
            <w:hideMark/>
          </w:tcPr>
          <w:p w:rsidR="001970C3" w:rsidRPr="006314C9" w:rsidRDefault="00F0450C" w:rsidP="00750C45">
            <w:pPr>
              <w:spacing w:beforeLines="60" w:afterLines="60"/>
              <w:jc w:val="center"/>
              <w:rPr>
                <w:rFonts w:eastAsia="Times New Roman" w:cs="Times New Roman"/>
                <w:color w:val="000000"/>
                <w:sz w:val="20"/>
                <w:szCs w:val="20"/>
                <w:lang w:val="en-GB"/>
              </w:rPr>
            </w:pPr>
            <w:r>
              <w:rPr>
                <w:rFonts w:eastAsia="Times New Roman" w:cs="Times New Roman"/>
                <w:color w:val="000000"/>
                <w:sz w:val="20"/>
                <w:szCs w:val="20"/>
                <w:lang w:val="en-GB"/>
              </w:rPr>
              <w:t>N</w:t>
            </w:r>
            <w:r w:rsidRPr="00F0450C">
              <w:rPr>
                <w:rFonts w:eastAsia="Times New Roman" w:cs="Times New Roman"/>
                <w:color w:val="000000"/>
                <w:sz w:val="20"/>
                <w:szCs w:val="20"/>
                <w:lang w:val="en-GB"/>
              </w:rPr>
              <w:t>ot defined</w:t>
            </w:r>
            <w:r>
              <w:rPr>
                <w:rFonts w:eastAsia="Times New Roman" w:cs="Times New Roman"/>
                <w:color w:val="000000"/>
                <w:sz w:val="20"/>
                <w:szCs w:val="20"/>
                <w:lang w:val="en-GB"/>
              </w:rPr>
              <w:t xml:space="preserve"> yet</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2F0A16"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1970C3" w:rsidRPr="006314C9" w:rsidRDefault="00EA12A1"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EA12A1" w:rsidRPr="006314C9" w:rsidTr="004F7E83">
        <w:tc>
          <w:tcPr>
            <w:tcW w:w="625" w:type="dxa"/>
            <w:tcBorders>
              <w:top w:val="nil"/>
              <w:left w:val="single" w:sz="4" w:space="0" w:color="auto"/>
              <w:bottom w:val="single" w:sz="4" w:space="0" w:color="auto"/>
              <w:right w:val="single" w:sz="4" w:space="0" w:color="auto"/>
            </w:tcBorders>
            <w:shd w:val="clear" w:color="auto" w:fill="auto"/>
            <w:vAlign w:val="center"/>
            <w:hideMark/>
          </w:tcPr>
          <w:p w:rsidR="00EA12A1" w:rsidRPr="006314C9" w:rsidRDefault="00EA12A1"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72*</w:t>
            </w:r>
          </w:p>
        </w:tc>
        <w:tc>
          <w:tcPr>
            <w:tcW w:w="1368" w:type="dxa"/>
            <w:tcBorders>
              <w:top w:val="nil"/>
              <w:left w:val="nil"/>
              <w:bottom w:val="single" w:sz="4" w:space="0" w:color="auto"/>
              <w:right w:val="single" w:sz="4" w:space="0" w:color="auto"/>
            </w:tcBorders>
            <w:shd w:val="clear" w:color="auto" w:fill="auto"/>
            <w:vAlign w:val="center"/>
            <w:hideMark/>
          </w:tcPr>
          <w:p w:rsidR="00694EE8" w:rsidRPr="006314C9" w:rsidRDefault="00EA12A1" w:rsidP="00750C45">
            <w:pPr>
              <w:spacing w:beforeLines="60" w:afterLines="60"/>
              <w:jc w:val="center"/>
              <w:rPr>
                <w:rFonts w:cs="Times New Roman"/>
                <w:sz w:val="20"/>
                <w:szCs w:val="20"/>
                <w:lang w:val="en-GB"/>
              </w:rPr>
            </w:pPr>
            <w:r w:rsidRPr="006314C9">
              <w:rPr>
                <w:rFonts w:cs="Times New Roman"/>
                <w:color w:val="000000"/>
                <w:sz w:val="20"/>
                <w:szCs w:val="20"/>
                <w:lang w:val="en-GB"/>
              </w:rPr>
              <w:t>Climate Change</w:t>
            </w:r>
          </w:p>
        </w:tc>
        <w:tc>
          <w:tcPr>
            <w:tcW w:w="5972" w:type="dxa"/>
            <w:tcBorders>
              <w:top w:val="nil"/>
              <w:left w:val="nil"/>
              <w:bottom w:val="single" w:sz="4" w:space="0" w:color="auto"/>
              <w:right w:val="single" w:sz="4" w:space="0" w:color="auto"/>
            </w:tcBorders>
            <w:shd w:val="clear" w:color="auto" w:fill="auto"/>
            <w:vAlign w:val="center"/>
            <w:hideMark/>
          </w:tcPr>
          <w:p w:rsidR="00694EE8" w:rsidRPr="006314C9" w:rsidRDefault="00EA12A1" w:rsidP="00750C45">
            <w:pPr>
              <w:spacing w:beforeLines="60" w:afterLines="60"/>
              <w:jc w:val="center"/>
              <w:rPr>
                <w:rFonts w:cs="Times New Roman"/>
                <w:color w:val="000000"/>
                <w:sz w:val="20"/>
                <w:szCs w:val="20"/>
                <w:lang w:val="en-GB"/>
              </w:rPr>
            </w:pPr>
            <w:r w:rsidRPr="006314C9">
              <w:rPr>
                <w:rFonts w:cs="Times New Roman"/>
                <w:color w:val="000000"/>
                <w:sz w:val="20"/>
                <w:szCs w:val="20"/>
                <w:lang w:val="en-GB"/>
              </w:rPr>
              <w:t xml:space="preserve">Regulation (EU) 510/2011 </w:t>
            </w:r>
            <w:r w:rsidR="00B95D6A" w:rsidRPr="006314C9">
              <w:rPr>
                <w:rFonts w:cs="Times New Roman"/>
                <w:b/>
                <w:bCs/>
                <w:i/>
                <w:color w:val="000000"/>
                <w:sz w:val="20"/>
                <w:szCs w:val="20"/>
                <w:lang w:val="en-GB"/>
              </w:rPr>
              <w:t>Light commercial vehicles</w:t>
            </w:r>
          </w:p>
        </w:tc>
        <w:tc>
          <w:tcPr>
            <w:tcW w:w="1730" w:type="dxa"/>
            <w:tcBorders>
              <w:top w:val="nil"/>
              <w:left w:val="nil"/>
              <w:bottom w:val="single" w:sz="4" w:space="0" w:color="auto"/>
              <w:right w:val="single" w:sz="4" w:space="0" w:color="auto"/>
            </w:tcBorders>
            <w:shd w:val="clear" w:color="000000" w:fill="FFFFFF"/>
            <w:vAlign w:val="center"/>
            <w:hideMark/>
          </w:tcPr>
          <w:p w:rsidR="00694EE8" w:rsidRPr="006314C9" w:rsidRDefault="00F0450C" w:rsidP="00750C45">
            <w:pPr>
              <w:spacing w:beforeLines="60" w:afterLines="60"/>
              <w:jc w:val="center"/>
              <w:rPr>
                <w:rFonts w:eastAsia="Times New Roman" w:cs="Times New Roman"/>
                <w:color w:val="000000"/>
                <w:sz w:val="20"/>
                <w:szCs w:val="20"/>
                <w:lang w:val="en-GB"/>
              </w:rPr>
            </w:pPr>
            <w:r>
              <w:rPr>
                <w:rFonts w:eastAsia="Times New Roman" w:cs="Times New Roman"/>
                <w:color w:val="000000"/>
                <w:sz w:val="20"/>
                <w:szCs w:val="20"/>
                <w:lang w:val="en-GB"/>
              </w:rPr>
              <w:t>N</w:t>
            </w:r>
            <w:r w:rsidRPr="00F0450C">
              <w:rPr>
                <w:rFonts w:eastAsia="Times New Roman" w:cs="Times New Roman"/>
                <w:color w:val="000000"/>
                <w:sz w:val="20"/>
                <w:szCs w:val="20"/>
                <w:lang w:val="en-GB"/>
              </w:rPr>
              <w:t>ot defined</w:t>
            </w:r>
            <w:r>
              <w:rPr>
                <w:rFonts w:eastAsia="Times New Roman" w:cs="Times New Roman"/>
                <w:color w:val="000000"/>
                <w:sz w:val="20"/>
                <w:szCs w:val="20"/>
                <w:lang w:val="en-GB"/>
              </w:rPr>
              <w:t xml:space="preserve"> yet</w:t>
            </w:r>
          </w:p>
        </w:tc>
        <w:tc>
          <w:tcPr>
            <w:tcW w:w="1731" w:type="dxa"/>
            <w:tcBorders>
              <w:top w:val="nil"/>
              <w:left w:val="nil"/>
              <w:bottom w:val="single" w:sz="4" w:space="0" w:color="auto"/>
              <w:right w:val="single" w:sz="4" w:space="0" w:color="auto"/>
            </w:tcBorders>
            <w:shd w:val="clear" w:color="000000" w:fill="FFFFFF"/>
            <w:vAlign w:val="center"/>
          </w:tcPr>
          <w:p w:rsidR="00694EE8" w:rsidRPr="006314C9" w:rsidRDefault="00EA12A1"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nil"/>
              <w:left w:val="nil"/>
              <w:bottom w:val="single" w:sz="4" w:space="0" w:color="auto"/>
              <w:right w:val="single" w:sz="4" w:space="0" w:color="auto"/>
            </w:tcBorders>
            <w:shd w:val="clear" w:color="000000" w:fill="FFFFFF"/>
            <w:vAlign w:val="center"/>
          </w:tcPr>
          <w:p w:rsidR="00EA12A1" w:rsidRPr="006314C9" w:rsidRDefault="00EA12A1"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EA12A1" w:rsidRPr="006314C9" w:rsidTr="00F57604">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2A1"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73</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cs="Times New Roman"/>
                <w:color w:val="000000"/>
                <w:sz w:val="20"/>
                <w:szCs w:val="20"/>
                <w:lang w:val="en-GB"/>
              </w:rPr>
              <w:t>Climate Change</w:t>
            </w:r>
          </w:p>
        </w:tc>
        <w:tc>
          <w:tcPr>
            <w:tcW w:w="5972" w:type="dxa"/>
            <w:tcBorders>
              <w:top w:val="single" w:sz="4" w:space="0" w:color="auto"/>
              <w:left w:val="nil"/>
              <w:bottom w:val="single" w:sz="4" w:space="0" w:color="auto"/>
              <w:right w:val="single" w:sz="4" w:space="0" w:color="auto"/>
            </w:tcBorders>
            <w:shd w:val="clear" w:color="auto" w:fill="auto"/>
            <w:vAlign w:val="center"/>
            <w:hideMark/>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REGULATION (EU) NO 2018/841 </w:t>
            </w:r>
            <w:r w:rsidRPr="006314C9">
              <w:rPr>
                <w:rFonts w:eastAsia="Times New Roman" w:cs="Times New Roman"/>
                <w:b/>
                <w:color w:val="000000"/>
                <w:sz w:val="20"/>
                <w:szCs w:val="20"/>
                <w:lang w:val="en-GB"/>
              </w:rPr>
              <w:t>LULUCF</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rsidR="00EA12A1" w:rsidRPr="006314C9" w:rsidRDefault="00F0450C" w:rsidP="00750C45">
            <w:pPr>
              <w:spacing w:beforeLines="60" w:afterLines="60"/>
              <w:jc w:val="center"/>
              <w:rPr>
                <w:rFonts w:eastAsia="Times New Roman" w:cs="Times New Roman"/>
                <w:color w:val="000000"/>
                <w:sz w:val="20"/>
                <w:szCs w:val="20"/>
                <w:lang w:val="en-GB"/>
              </w:rPr>
            </w:pPr>
            <w:r>
              <w:rPr>
                <w:rFonts w:eastAsia="Times New Roman" w:cs="Times New Roman"/>
                <w:color w:val="000000"/>
                <w:sz w:val="20"/>
                <w:szCs w:val="20"/>
                <w:lang w:val="en-GB"/>
              </w:rPr>
              <w:t>N</w:t>
            </w:r>
            <w:r w:rsidRPr="00F0450C">
              <w:rPr>
                <w:rFonts w:eastAsia="Times New Roman" w:cs="Times New Roman"/>
                <w:color w:val="000000"/>
                <w:sz w:val="20"/>
                <w:szCs w:val="20"/>
                <w:lang w:val="en-GB"/>
              </w:rPr>
              <w:t>ot defined</w:t>
            </w:r>
            <w:r w:rsidR="00EA12A1" w:rsidRPr="006314C9">
              <w:rPr>
                <w:rFonts w:eastAsia="Times New Roman" w:cs="Times New Roman"/>
                <w:color w:val="000000"/>
                <w:sz w:val="20"/>
                <w:szCs w:val="20"/>
                <w:lang w:val="en-GB"/>
              </w:rPr>
              <w:t xml:space="preserve"> y</w:t>
            </w:r>
            <w:r w:rsidR="00B95D6A" w:rsidRPr="006314C9">
              <w:rPr>
                <w:rFonts w:eastAsia="Times New Roman" w:cs="Times New Roman"/>
                <w:color w:val="000000"/>
                <w:sz w:val="20"/>
                <w:szCs w:val="20"/>
                <w:lang w:val="en-GB"/>
              </w:rPr>
              <w:t>et</w:t>
            </w:r>
          </w:p>
        </w:tc>
        <w:tc>
          <w:tcPr>
            <w:tcW w:w="1731" w:type="dxa"/>
            <w:tcBorders>
              <w:top w:val="single" w:sz="4" w:space="0" w:color="auto"/>
              <w:left w:val="nil"/>
              <w:bottom w:val="single" w:sz="4" w:space="0" w:color="auto"/>
              <w:right w:val="single" w:sz="4" w:space="0" w:color="auto"/>
            </w:tcBorders>
            <w:shd w:val="clear" w:color="000000" w:fill="FFFFFF"/>
            <w:vAlign w:val="center"/>
          </w:tcPr>
          <w:p w:rsidR="00694EE8" w:rsidRPr="006314C9" w:rsidRDefault="00B95D6A"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0</w:t>
            </w:r>
          </w:p>
        </w:tc>
        <w:tc>
          <w:tcPr>
            <w:tcW w:w="1750" w:type="dxa"/>
            <w:tcBorders>
              <w:top w:val="single" w:sz="4" w:space="0" w:color="auto"/>
              <w:left w:val="nil"/>
              <w:bottom w:val="single" w:sz="4" w:space="0" w:color="auto"/>
              <w:right w:val="single" w:sz="4" w:space="0" w:color="auto"/>
            </w:tcBorders>
            <w:shd w:val="clear" w:color="000000" w:fill="FFFFFF"/>
            <w:vAlign w:val="center"/>
          </w:tcPr>
          <w:p w:rsidR="00EA12A1" w:rsidRPr="006314C9" w:rsidRDefault="00EA12A1" w:rsidP="00750C45">
            <w:pPr>
              <w:spacing w:beforeLines="60" w:afterLines="60"/>
              <w:jc w:val="center"/>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F57604" w:rsidRPr="006314C9" w:rsidTr="00F57604">
        <w:tc>
          <w:tcPr>
            <w:tcW w:w="13176" w:type="dxa"/>
            <w:gridSpan w:val="6"/>
            <w:tcBorders>
              <w:top w:val="single" w:sz="4" w:space="0" w:color="auto"/>
            </w:tcBorders>
            <w:shd w:val="clear" w:color="auto" w:fill="auto"/>
            <w:vAlign w:val="center"/>
            <w:hideMark/>
          </w:tcPr>
          <w:p w:rsidR="00694EE8" w:rsidRPr="006314C9" w:rsidRDefault="00F57604" w:rsidP="00810EE1">
            <w:pPr>
              <w:pStyle w:val="Footer"/>
              <w:spacing w:before="144" w:after="144"/>
              <w:rPr>
                <w:rFonts w:cs="Times New Roman"/>
                <w:sz w:val="16"/>
                <w:szCs w:val="16"/>
                <w:lang w:val="en-GB"/>
              </w:rPr>
            </w:pPr>
            <w:r w:rsidRPr="006314C9">
              <w:rPr>
                <w:rFonts w:eastAsia="Times New Roman" w:cs="Times New Roman"/>
                <w:color w:val="000000"/>
                <w:sz w:val="20"/>
                <w:szCs w:val="20"/>
                <w:lang w:val="en-GB"/>
              </w:rPr>
              <w:t>*</w:t>
            </w:r>
            <w:r w:rsidRPr="006314C9">
              <w:rPr>
                <w:rFonts w:cs="Times New Roman"/>
                <w:sz w:val="16"/>
                <w:szCs w:val="16"/>
                <w:lang w:val="en-GB"/>
              </w:rPr>
              <w:t xml:space="preserve">These two regulations have been repealed by the Regulation (EU) 2019/631 </w:t>
            </w:r>
            <w:r w:rsidRPr="006314C9">
              <w:rPr>
                <w:rFonts w:eastAsia="Times New Roman" w:cs="Times New Roman"/>
                <w:sz w:val="16"/>
                <w:szCs w:val="16"/>
                <w:lang w:val="en-GB"/>
              </w:rPr>
              <w:t xml:space="preserve">of the European Parliament and of the Council of 17 April 2019 </w:t>
            </w:r>
            <w:r w:rsidRPr="006314C9">
              <w:rPr>
                <w:rFonts w:eastAsia="Times New Roman" w:cs="Times New Roman"/>
                <w:bCs/>
                <w:sz w:val="16"/>
                <w:szCs w:val="16"/>
                <w:lang w:val="en-GB"/>
              </w:rPr>
              <w:t>setting CO2 emission performance standards for new passenger cars and for new light commercial vehicles</w:t>
            </w:r>
            <w:r w:rsidRPr="006314C9">
              <w:rPr>
                <w:rFonts w:eastAsia="Times New Roman" w:cs="Times New Roman"/>
                <w:sz w:val="16"/>
                <w:szCs w:val="16"/>
                <w:lang w:val="en-GB"/>
              </w:rPr>
              <w:t xml:space="preserve">, and repealing Regulations (EC) No 443/2009 and (EU) No 510/2011. </w:t>
            </w:r>
          </w:p>
        </w:tc>
      </w:tr>
    </w:tbl>
    <w:p w:rsidR="00B718BB" w:rsidRPr="006314C9" w:rsidRDefault="00B718BB" w:rsidP="00B27FEA">
      <w:pPr>
        <w:rPr>
          <w:rFonts w:cs="Times New Roman"/>
          <w:lang w:val="en-GB"/>
        </w:rPr>
      </w:pPr>
    </w:p>
    <w:p w:rsidR="00B718BB" w:rsidRPr="006314C9" w:rsidRDefault="00B718BB" w:rsidP="007B0BC7">
      <w:pPr>
        <w:rPr>
          <w:rFonts w:cs="Times New Roman"/>
          <w:lang w:val="en-GB"/>
        </w:rPr>
      </w:pPr>
    </w:p>
    <w:p w:rsidR="003D5FFC" w:rsidRPr="006314C9" w:rsidRDefault="003D5FFC" w:rsidP="00152F5E">
      <w:pPr>
        <w:rPr>
          <w:rFonts w:cs="Times New Roman"/>
          <w:lang w:val="en-GB"/>
        </w:rPr>
        <w:sectPr w:rsidR="003D5FFC" w:rsidRPr="006314C9" w:rsidSect="00B67C52">
          <w:pgSz w:w="15840" w:h="12240" w:orient="landscape"/>
          <w:pgMar w:top="1440" w:right="1440" w:bottom="1440" w:left="1440" w:header="720" w:footer="720" w:gutter="0"/>
          <w:cols w:space="720"/>
          <w:docGrid w:linePitch="360"/>
        </w:sectPr>
      </w:pPr>
    </w:p>
    <w:p w:rsidR="00B718BB" w:rsidRPr="006314C9" w:rsidRDefault="00B718BB" w:rsidP="00152F5E">
      <w:pPr>
        <w:rPr>
          <w:rFonts w:cs="Times New Roman"/>
          <w:lang w:val="en-GB"/>
        </w:rPr>
      </w:pPr>
    </w:p>
    <w:p w:rsidR="00521A8F" w:rsidRPr="006314C9" w:rsidRDefault="00422F98" w:rsidP="007B0BC7">
      <w:pPr>
        <w:pStyle w:val="Heading1"/>
        <w:numPr>
          <w:ilvl w:val="0"/>
          <w:numId w:val="0"/>
        </w:numPr>
        <w:jc w:val="center"/>
        <w:rPr>
          <w:rFonts w:cs="Times New Roman"/>
          <w:szCs w:val="22"/>
          <w:lang w:val="en-GB"/>
        </w:rPr>
      </w:pPr>
      <w:bookmarkStart w:id="4" w:name="_Toc24031508"/>
      <w:r w:rsidRPr="006314C9">
        <w:rPr>
          <w:rFonts w:cs="Times New Roman"/>
          <w:szCs w:val="22"/>
          <w:lang w:val="en-GB"/>
        </w:rPr>
        <w:t xml:space="preserve">Sub Chapter: </w:t>
      </w:r>
      <w:r w:rsidR="00521A8F" w:rsidRPr="006314C9">
        <w:rPr>
          <w:rFonts w:cs="Times New Roman"/>
          <w:szCs w:val="22"/>
          <w:lang w:val="en-GB"/>
        </w:rPr>
        <w:t>Horizontal Legislation</w:t>
      </w:r>
      <w:bookmarkEnd w:id="4"/>
    </w:p>
    <w:p w:rsidR="00521A8F" w:rsidRPr="006314C9" w:rsidRDefault="00521A8F" w:rsidP="00152F5E">
      <w:pPr>
        <w:rPr>
          <w:rFonts w:cs="Times New Roman"/>
          <w:lang w:val="en-GB"/>
        </w:rPr>
      </w:pPr>
      <w:r w:rsidRPr="006314C9">
        <w:rPr>
          <w:rFonts w:cs="Times New Roman"/>
          <w:b/>
          <w:lang w:val="en-GB"/>
        </w:rPr>
        <w:t>Background information</w:t>
      </w:r>
    </w:p>
    <w:p w:rsidR="00521A8F" w:rsidRPr="006314C9" w:rsidRDefault="00521A8F" w:rsidP="00152F5E">
      <w:pPr>
        <w:autoSpaceDE w:val="0"/>
        <w:autoSpaceDN w:val="0"/>
        <w:adjustRightInd w:val="0"/>
        <w:spacing w:after="0"/>
        <w:rPr>
          <w:rFonts w:cs="Times New Roman"/>
          <w:bCs/>
          <w:lang w:val="en-GB"/>
        </w:rPr>
      </w:pPr>
      <w:r w:rsidRPr="006314C9">
        <w:rPr>
          <w:rFonts w:cs="Times New Roman"/>
          <w:lang w:val="en-GB"/>
        </w:rPr>
        <w:t xml:space="preserve">The horizontal sector legislation </w:t>
      </w:r>
      <w:r w:rsidR="005B127D" w:rsidRPr="006314C9">
        <w:rPr>
          <w:rFonts w:cs="Times New Roman"/>
          <w:lang w:val="en-GB"/>
        </w:rPr>
        <w:t xml:space="preserve">covers </w:t>
      </w:r>
      <w:r w:rsidRPr="006314C9">
        <w:rPr>
          <w:rFonts w:cs="Times New Roman"/>
          <w:lang w:val="en-GB"/>
        </w:rPr>
        <w:t>various matters which cut across different environmental subject areas, as opposed to the legislation which apply to a specific sector, e.g. water or air. Rather than to regulate a specific area, these items of legislation are more procedural. They provide for methods</w:t>
      </w:r>
      <w:r w:rsidR="005B127D" w:rsidRPr="006314C9">
        <w:rPr>
          <w:rFonts w:cs="Times New Roman"/>
          <w:lang w:val="en-GB"/>
        </w:rPr>
        <w:t>, procedures</w:t>
      </w:r>
      <w:r w:rsidRPr="006314C9">
        <w:rPr>
          <w:rFonts w:cs="Times New Roman"/>
          <w:lang w:val="en-GB"/>
        </w:rPr>
        <w:t xml:space="preserve"> and mechanisms aimed to integrate environment in other policy areas and at improving decision making and legislative development and implementation. Chapter 27 addressed 7 Directives and 1 Recommendation under the Horizontal Legislation sub-chapter: </w:t>
      </w:r>
    </w:p>
    <w:p w:rsidR="00521A8F" w:rsidRPr="006314C9" w:rsidRDefault="00521A8F" w:rsidP="00152F5E">
      <w:pPr>
        <w:pStyle w:val="ListParagraph"/>
        <w:numPr>
          <w:ilvl w:val="0"/>
          <w:numId w:val="5"/>
        </w:numPr>
        <w:rPr>
          <w:rFonts w:eastAsia="Times New Roman" w:cs="Times New Roman"/>
          <w:color w:val="444444"/>
          <w:lang w:val="en-GB"/>
        </w:rPr>
      </w:pPr>
      <w:r w:rsidRPr="006314C9">
        <w:rPr>
          <w:rFonts w:cs="Times New Roman"/>
          <w:bCs/>
          <w:lang w:val="en-GB"/>
        </w:rPr>
        <w:t xml:space="preserve">Directive 2011/92/EU </w:t>
      </w:r>
      <w:r w:rsidRPr="006314C9">
        <w:rPr>
          <w:rFonts w:cs="Times New Roman"/>
          <w:lang w:val="en-GB"/>
        </w:rPr>
        <w:t xml:space="preserve">on </w:t>
      </w:r>
      <w:r w:rsidRPr="006314C9">
        <w:rPr>
          <w:rFonts w:cs="Times New Roman"/>
          <w:i/>
          <w:lang w:val="en-GB"/>
        </w:rPr>
        <w:t>Environmental Impact Assessment (EIA)</w:t>
      </w:r>
      <w:r w:rsidRPr="006314C9">
        <w:rPr>
          <w:rFonts w:eastAsia="Times New Roman" w:cs="Times New Roman"/>
          <w:color w:val="444444"/>
          <w:lang w:val="en-GB"/>
        </w:rPr>
        <w:t>. It aims to ensure a high level of environmental protection through integrating the environmental considerations into the preparation and authorisation of projects. It defines the </w:t>
      </w:r>
      <w:r w:rsidRPr="006314C9">
        <w:rPr>
          <w:rFonts w:eastAsia="Times New Roman" w:cs="Times New Roman"/>
          <w:bCs/>
          <w:color w:val="444444"/>
          <w:lang w:val="en-GB"/>
        </w:rPr>
        <w:t xml:space="preserve">environmental impact assessment </w:t>
      </w:r>
      <w:r w:rsidRPr="006314C9">
        <w:rPr>
          <w:rFonts w:eastAsia="Times New Roman" w:cs="Times New Roman"/>
          <w:color w:val="444444"/>
          <w:lang w:val="en-GB"/>
        </w:rPr>
        <w:t xml:space="preserve">process which ensures that projects likely to have significant effects on the environment are made subject to an assessment, prior to their authorisation. </w:t>
      </w:r>
    </w:p>
    <w:p w:rsidR="00521A8F" w:rsidRPr="006314C9" w:rsidRDefault="00521A8F" w:rsidP="00152F5E">
      <w:pPr>
        <w:pStyle w:val="ListParagraph"/>
        <w:numPr>
          <w:ilvl w:val="0"/>
          <w:numId w:val="5"/>
        </w:numPr>
        <w:rPr>
          <w:rFonts w:eastAsia="Times New Roman" w:cs="Times New Roman"/>
          <w:color w:val="444444"/>
          <w:lang w:val="en-GB"/>
        </w:rPr>
      </w:pPr>
      <w:r w:rsidRPr="006314C9">
        <w:rPr>
          <w:rFonts w:cs="Times New Roman"/>
          <w:bCs/>
          <w:lang w:val="en-GB"/>
        </w:rPr>
        <w:t xml:space="preserve">Directive 2001/42/EC on </w:t>
      </w:r>
      <w:r w:rsidRPr="006314C9">
        <w:rPr>
          <w:rFonts w:cs="Times New Roman"/>
          <w:bCs/>
          <w:i/>
          <w:lang w:val="en-GB"/>
        </w:rPr>
        <w:t>Strategic Environmental Assessment(SEA).</w:t>
      </w:r>
      <w:r w:rsidRPr="006314C9">
        <w:rPr>
          <w:rFonts w:eastAsia="Times New Roman" w:cs="Times New Roman"/>
          <w:color w:val="444444"/>
          <w:lang w:val="en-GB"/>
        </w:rPr>
        <w:t>It aims to ensure a high level of environmental protection and that environmental considerations are taken into account when preparing, adopting and implementing plans and programmes. It promotes sustainable development by ensuring that environmental assessment is carried out during the preparation and before the adoption of certain plans and programmes likely to have significant effects on the environment.</w:t>
      </w:r>
    </w:p>
    <w:p w:rsidR="00521A8F" w:rsidRPr="006314C9" w:rsidRDefault="00521A8F" w:rsidP="00152F5E">
      <w:pPr>
        <w:pStyle w:val="ListParagraph"/>
        <w:numPr>
          <w:ilvl w:val="0"/>
          <w:numId w:val="5"/>
        </w:numPr>
        <w:rPr>
          <w:rFonts w:eastAsia="Times New Roman" w:cs="Times New Roman"/>
          <w:color w:val="444444"/>
          <w:lang w:val="en-GB"/>
        </w:rPr>
      </w:pPr>
      <w:r w:rsidRPr="006314C9">
        <w:rPr>
          <w:rFonts w:cs="Times New Roman"/>
          <w:bCs/>
          <w:lang w:val="en-GB"/>
        </w:rPr>
        <w:t>Directive</w:t>
      </w:r>
      <w:r w:rsidRPr="006314C9">
        <w:rPr>
          <w:rFonts w:cs="Times New Roman"/>
          <w:color w:val="444444"/>
          <w:shd w:val="clear" w:color="auto" w:fill="FFFFFF"/>
          <w:lang w:val="en-GB"/>
        </w:rPr>
        <w:t xml:space="preserve"> 2003/4/EC on </w:t>
      </w:r>
      <w:r w:rsidRPr="006314C9">
        <w:rPr>
          <w:rFonts w:cs="Times New Roman"/>
          <w:i/>
          <w:color w:val="444444"/>
          <w:shd w:val="clear" w:color="auto" w:fill="FFFFFF"/>
          <w:lang w:val="en-GB"/>
        </w:rPr>
        <w:t>Access to Environmental Information</w:t>
      </w:r>
      <w:r w:rsidRPr="006314C9">
        <w:rPr>
          <w:rFonts w:cs="Times New Roman"/>
          <w:color w:val="444444"/>
          <w:shd w:val="clear" w:color="auto" w:fill="FFFFFF"/>
          <w:lang w:val="en-GB"/>
        </w:rPr>
        <w:t xml:space="preserve">. </w:t>
      </w:r>
      <w:r w:rsidRPr="006314C9">
        <w:rPr>
          <w:rFonts w:eastAsia="Times New Roman" w:cs="Times New Roman"/>
          <w:color w:val="444444"/>
          <w:lang w:val="en-GB"/>
        </w:rPr>
        <w:t>It fully adapts EU countries’ national laws to the 1998 </w:t>
      </w:r>
      <w:hyperlink r:id="rId14" w:history="1">
        <w:r w:rsidRPr="006314C9">
          <w:rPr>
            <w:rFonts w:eastAsia="Times New Roman" w:cs="Times New Roman"/>
            <w:color w:val="444444"/>
            <w:lang w:val="en-GB"/>
          </w:rPr>
          <w:t>Aarhus Convention on access to information, public participation and access to justice in environmental matters</w:t>
        </w:r>
      </w:hyperlink>
      <w:r w:rsidRPr="006314C9">
        <w:rPr>
          <w:rFonts w:eastAsia="Times New Roman" w:cs="Times New Roman"/>
          <w:color w:val="444444"/>
          <w:lang w:val="en-GB"/>
        </w:rPr>
        <w:t>. It guarantees the public access to environmental information held by, or for, public authorities, both upon request and through active dissemination.</w:t>
      </w:r>
    </w:p>
    <w:p w:rsidR="00521A8F" w:rsidRPr="006314C9" w:rsidRDefault="00521A8F" w:rsidP="00152F5E">
      <w:pPr>
        <w:pStyle w:val="ListParagraph"/>
        <w:numPr>
          <w:ilvl w:val="0"/>
          <w:numId w:val="5"/>
        </w:numPr>
        <w:rPr>
          <w:rFonts w:eastAsia="Times New Roman" w:cs="Times New Roman"/>
          <w:color w:val="444444"/>
          <w:lang w:val="en-GB"/>
        </w:rPr>
      </w:pPr>
      <w:r w:rsidRPr="006314C9">
        <w:rPr>
          <w:rFonts w:cs="Times New Roman"/>
          <w:color w:val="444444"/>
          <w:shd w:val="clear" w:color="auto" w:fill="FFFFFF"/>
          <w:lang w:val="en-GB"/>
        </w:rPr>
        <w:t xml:space="preserve">Directive </w:t>
      </w:r>
      <w:r w:rsidRPr="006314C9">
        <w:rPr>
          <w:rFonts w:cs="Times New Roman"/>
          <w:bCs/>
          <w:lang w:val="en-GB"/>
        </w:rPr>
        <w:t>2003</w:t>
      </w:r>
      <w:r w:rsidRPr="006314C9">
        <w:rPr>
          <w:rFonts w:cs="Times New Roman"/>
          <w:color w:val="444444"/>
          <w:shd w:val="clear" w:color="auto" w:fill="FFFFFF"/>
          <w:lang w:val="en-GB"/>
        </w:rPr>
        <w:t xml:space="preserve">/35/EC on </w:t>
      </w:r>
      <w:r w:rsidRPr="006314C9">
        <w:rPr>
          <w:rFonts w:cs="Times New Roman"/>
          <w:i/>
          <w:color w:val="444444"/>
          <w:shd w:val="clear" w:color="auto" w:fill="FFFFFF"/>
          <w:lang w:val="en-GB"/>
        </w:rPr>
        <w:t>Public Participation</w:t>
      </w:r>
      <w:r w:rsidRPr="006314C9">
        <w:rPr>
          <w:rFonts w:cs="Times New Roman"/>
          <w:color w:val="444444"/>
          <w:shd w:val="clear" w:color="auto" w:fill="FFFFFF"/>
          <w:lang w:val="en-GB"/>
        </w:rPr>
        <w:t xml:space="preserve">. It contributes </w:t>
      </w:r>
      <w:r w:rsidRPr="006314C9">
        <w:rPr>
          <w:rFonts w:eastAsia="Times New Roman" w:cs="Times New Roman"/>
          <w:color w:val="444444"/>
          <w:lang w:val="en-GB"/>
        </w:rPr>
        <w:t xml:space="preserve">to the implementation of the obligations arising under the Aarhus Convention, in particular by (a) providing for public participation in respect of the drawing up of certain plans and programmes relating to the environment; (b) improving the public participation and providing for access to justice. </w:t>
      </w:r>
    </w:p>
    <w:p w:rsidR="00521A8F" w:rsidRPr="006314C9" w:rsidRDefault="00521A8F" w:rsidP="00152F5E">
      <w:pPr>
        <w:pStyle w:val="ListParagraph"/>
        <w:numPr>
          <w:ilvl w:val="0"/>
          <w:numId w:val="5"/>
        </w:numPr>
        <w:rPr>
          <w:rFonts w:eastAsia="Times New Roman" w:cs="Times New Roman"/>
          <w:color w:val="444444"/>
          <w:lang w:val="en-GB"/>
        </w:rPr>
      </w:pPr>
      <w:r w:rsidRPr="006314C9">
        <w:rPr>
          <w:rFonts w:eastAsia="Times New Roman" w:cs="Times New Roman"/>
          <w:color w:val="444444"/>
          <w:lang w:val="en-GB"/>
        </w:rPr>
        <w:t xml:space="preserve">Directive 2004/35/CE on </w:t>
      </w:r>
      <w:r w:rsidRPr="006314C9">
        <w:rPr>
          <w:rFonts w:eastAsia="Times New Roman" w:cs="Times New Roman"/>
          <w:i/>
          <w:color w:val="444444"/>
          <w:lang w:val="en-GB"/>
        </w:rPr>
        <w:t xml:space="preserve">Environmental </w:t>
      </w:r>
      <w:proofErr w:type="spellStart"/>
      <w:r w:rsidRPr="006314C9">
        <w:rPr>
          <w:rFonts w:eastAsia="Times New Roman" w:cs="Times New Roman"/>
          <w:i/>
          <w:color w:val="444444"/>
          <w:lang w:val="en-GB"/>
        </w:rPr>
        <w:t>Liability</w:t>
      </w:r>
      <w:r w:rsidRPr="006314C9">
        <w:rPr>
          <w:rFonts w:eastAsia="Times New Roman" w:cs="Times New Roman"/>
          <w:color w:val="444444"/>
          <w:lang w:val="en-GB"/>
        </w:rPr>
        <w:t>.It</w:t>
      </w:r>
      <w:proofErr w:type="spellEnd"/>
      <w:r w:rsidRPr="006314C9">
        <w:rPr>
          <w:rFonts w:eastAsia="Times New Roman" w:cs="Times New Roman"/>
          <w:color w:val="444444"/>
          <w:lang w:val="en-GB"/>
        </w:rPr>
        <w:t xml:space="preserve"> lays down rules based on the polluter-pays principle. This means that a company causing environmental damage is liable for it and must take the necessary preventive or remedial action and bear all the related costs. The directive defines environmental damage as: (a) damage that significantly affects the environmental (ecological, chemical or quantitative) status of water resources, as defined in the </w:t>
      </w:r>
      <w:hyperlink r:id="rId15" w:history="1">
        <w:r w:rsidRPr="006314C9">
          <w:rPr>
            <w:rFonts w:eastAsia="Times New Roman" w:cs="Times New Roman"/>
            <w:color w:val="444444"/>
            <w:lang w:val="en-GB"/>
          </w:rPr>
          <w:t>EU Water Directive</w:t>
        </w:r>
      </w:hyperlink>
      <w:r w:rsidRPr="006314C9">
        <w:rPr>
          <w:rFonts w:eastAsia="Times New Roman" w:cs="Times New Roman"/>
          <w:color w:val="444444"/>
          <w:lang w:val="en-GB"/>
        </w:rPr>
        <w:t> and the </w:t>
      </w:r>
      <w:hyperlink r:id="rId16" w:history="1">
        <w:r w:rsidRPr="006314C9">
          <w:rPr>
            <w:rFonts w:eastAsia="Times New Roman" w:cs="Times New Roman"/>
            <w:color w:val="444444"/>
            <w:lang w:val="en-GB"/>
          </w:rPr>
          <w:t>Marine Environment Strategy Directive</w:t>
        </w:r>
      </w:hyperlink>
      <w:r w:rsidRPr="006314C9">
        <w:rPr>
          <w:rFonts w:eastAsia="Times New Roman" w:cs="Times New Roman"/>
          <w:color w:val="444444"/>
          <w:lang w:val="en-GB"/>
        </w:rPr>
        <w:t>; (b) damage to land creating a significant risk to human health; (c) damage to protected species and natural habitats that adversely affects conservation as defined in the </w:t>
      </w:r>
      <w:hyperlink r:id="rId17" w:history="1">
        <w:r w:rsidRPr="006314C9">
          <w:rPr>
            <w:rFonts w:eastAsia="Times New Roman" w:cs="Times New Roman"/>
            <w:color w:val="444444"/>
            <w:lang w:val="en-GB"/>
          </w:rPr>
          <w:t>Directive on the conservation of wild birds</w:t>
        </w:r>
      </w:hyperlink>
      <w:r w:rsidRPr="006314C9">
        <w:rPr>
          <w:rFonts w:eastAsia="Times New Roman" w:cs="Times New Roman"/>
          <w:color w:val="444444"/>
          <w:lang w:val="en-GB"/>
        </w:rPr>
        <w:t> and the </w:t>
      </w:r>
      <w:hyperlink r:id="rId18" w:history="1">
        <w:r w:rsidRPr="006314C9">
          <w:rPr>
            <w:rFonts w:eastAsia="Times New Roman" w:cs="Times New Roman"/>
            <w:color w:val="444444"/>
            <w:lang w:val="en-GB"/>
          </w:rPr>
          <w:t>Natural Habitats Directive</w:t>
        </w:r>
      </w:hyperlink>
      <w:r w:rsidRPr="006314C9">
        <w:rPr>
          <w:rFonts w:eastAsia="Times New Roman" w:cs="Times New Roman"/>
          <w:color w:val="444444"/>
          <w:lang w:val="en-GB"/>
        </w:rPr>
        <w:t>.</w:t>
      </w:r>
    </w:p>
    <w:p w:rsidR="00521A8F" w:rsidRPr="006314C9" w:rsidRDefault="00521A8F" w:rsidP="00152F5E">
      <w:pPr>
        <w:pStyle w:val="ListParagraph"/>
        <w:numPr>
          <w:ilvl w:val="0"/>
          <w:numId w:val="5"/>
        </w:numPr>
        <w:shd w:val="clear" w:color="auto" w:fill="FFFFFF"/>
        <w:spacing w:before="0" w:after="0"/>
        <w:rPr>
          <w:rFonts w:eastAsia="Times New Roman" w:cs="Times New Roman"/>
          <w:color w:val="444444"/>
          <w:lang w:val="en-GB"/>
        </w:rPr>
      </w:pPr>
      <w:r w:rsidRPr="006314C9">
        <w:rPr>
          <w:rFonts w:eastAsia="Times New Roman" w:cs="Times New Roman"/>
          <w:color w:val="444444"/>
          <w:lang w:val="en-GB"/>
        </w:rPr>
        <w:t xml:space="preserve">Directive 2007/2/EC on the </w:t>
      </w:r>
      <w:r w:rsidRPr="006314C9">
        <w:rPr>
          <w:rFonts w:eastAsia="Times New Roman" w:cs="Times New Roman"/>
          <w:i/>
          <w:color w:val="444444"/>
          <w:lang w:val="en-GB"/>
        </w:rPr>
        <w:t>Infrastructure for Spatial Information in the European Community, (INSPIRE)</w:t>
      </w:r>
      <w:r w:rsidRPr="006314C9">
        <w:rPr>
          <w:rFonts w:eastAsia="Times New Roman" w:cs="Times New Roman"/>
          <w:color w:val="444444"/>
          <w:lang w:val="en-GB"/>
        </w:rPr>
        <w:t>. It lays down general rules setting up an infrastructure for spatial information in Europe for the purposes of European Union environmental policies and for policies or activities which may have an impact on the environment. The European infrastructure builds on that of spatial information that is established and operated by EU countries. INSPIRE Directive applies to spatial data (any data with direct or indirect reference to a specific location or geographical area, such as addresses, transport networks, elevation and land use) that (a) cover areas where EU countries have jurisdictional rights; (b) exist in electronic format; (c) are held by, or on behalf of, a public authority or another body using the network; (d) relate to environmental information.</w:t>
      </w:r>
    </w:p>
    <w:p w:rsidR="00521A8F" w:rsidRPr="006314C9" w:rsidRDefault="00521A8F" w:rsidP="00152F5E">
      <w:pPr>
        <w:pStyle w:val="ListParagraph"/>
        <w:shd w:val="clear" w:color="auto" w:fill="FFFFFF"/>
        <w:spacing w:before="0" w:after="0"/>
        <w:ind w:left="360"/>
        <w:rPr>
          <w:rFonts w:eastAsia="Times New Roman" w:cs="Times New Roman"/>
          <w:color w:val="444444"/>
          <w:lang w:val="en-GB"/>
        </w:rPr>
      </w:pPr>
      <w:r w:rsidRPr="006314C9">
        <w:rPr>
          <w:rFonts w:eastAsia="Times New Roman" w:cs="Times New Roman"/>
          <w:color w:val="444444"/>
          <w:lang w:val="en-GB"/>
        </w:rPr>
        <w:t xml:space="preserve">EU countries are responsible for ensuring that metadata (information describing spatial data sets and spatial data services, making it possible to discover, inventory and use them) are created for the various environmental spatial data </w:t>
      </w:r>
      <w:hyperlink r:id="rId19" w:anchor="keyterm_E0003" w:history="1"/>
      <w:r w:rsidRPr="006314C9">
        <w:rPr>
          <w:rFonts w:eastAsia="Times New Roman" w:cs="Times New Roman"/>
          <w:color w:val="444444"/>
          <w:lang w:val="en-GB"/>
        </w:rPr>
        <w:t xml:space="preserve">sets and services listed in the legislation.  </w:t>
      </w:r>
    </w:p>
    <w:p w:rsidR="00521A8F" w:rsidRPr="006314C9" w:rsidRDefault="00521A8F" w:rsidP="00152F5E">
      <w:pPr>
        <w:pStyle w:val="ListParagraph"/>
        <w:numPr>
          <w:ilvl w:val="0"/>
          <w:numId w:val="5"/>
        </w:numPr>
        <w:shd w:val="clear" w:color="auto" w:fill="FFFFFF"/>
        <w:spacing w:before="100" w:beforeAutospacing="1" w:after="100" w:afterAutospacing="1"/>
        <w:rPr>
          <w:rFonts w:eastAsia="Times New Roman" w:cs="Times New Roman"/>
          <w:color w:val="444444"/>
          <w:lang w:val="en-GB"/>
        </w:rPr>
      </w:pPr>
      <w:r w:rsidRPr="006314C9">
        <w:rPr>
          <w:rFonts w:eastAsia="Times New Roman" w:cs="Times New Roman"/>
          <w:color w:val="444444"/>
          <w:lang w:val="en-GB"/>
        </w:rPr>
        <w:lastRenderedPageBreak/>
        <w:t xml:space="preserve">Directive 2008/99/EC on </w:t>
      </w:r>
      <w:r w:rsidRPr="006314C9">
        <w:rPr>
          <w:rFonts w:eastAsia="Times New Roman" w:cs="Times New Roman"/>
          <w:i/>
          <w:color w:val="444444"/>
          <w:lang w:val="en-GB"/>
        </w:rPr>
        <w:t>Environmental Crime</w:t>
      </w:r>
      <w:r w:rsidRPr="006314C9">
        <w:rPr>
          <w:rFonts w:eastAsia="Times New Roman" w:cs="Times New Roman"/>
          <w:color w:val="444444"/>
          <w:lang w:val="en-GB"/>
        </w:rPr>
        <w:t>. It defines a number of serious offences that are harmful to human health or the environment and requires EU countries to introduce effective and proportionate penalties constituting a deterrent for such offences, regardless of whether they are committed intentionally or through serious negligence. Such offenses include: (a) discharging, emitting or otherwise releasing dangerous materials into </w:t>
      </w:r>
      <w:hyperlink r:id="rId20" w:history="1">
        <w:r w:rsidRPr="006314C9">
          <w:rPr>
            <w:rFonts w:eastAsia="Times New Roman" w:cs="Times New Roman"/>
            <w:color w:val="444444"/>
            <w:lang w:val="en-GB"/>
          </w:rPr>
          <w:t>air</w:t>
        </w:r>
      </w:hyperlink>
      <w:r w:rsidRPr="006314C9">
        <w:rPr>
          <w:rFonts w:eastAsia="Times New Roman" w:cs="Times New Roman"/>
          <w:color w:val="444444"/>
          <w:lang w:val="en-GB"/>
        </w:rPr>
        <w:t>, soil or </w:t>
      </w:r>
      <w:hyperlink r:id="rId21" w:history="1">
        <w:r w:rsidRPr="006314C9">
          <w:rPr>
            <w:rFonts w:eastAsia="Times New Roman" w:cs="Times New Roman"/>
            <w:color w:val="444444"/>
            <w:lang w:val="en-GB"/>
          </w:rPr>
          <w:t>water</w:t>
        </w:r>
      </w:hyperlink>
      <w:r w:rsidRPr="006314C9">
        <w:rPr>
          <w:rFonts w:eastAsia="Times New Roman" w:cs="Times New Roman"/>
          <w:color w:val="444444"/>
          <w:lang w:val="en-GB"/>
        </w:rPr>
        <w:t>; (b) collecting, transporting, recovering or disposing of hazardous waste; (c)shipping noticeable quantities of waste; (d) operating an industrial plant that conducts dangerous activities or stores dangerous substances (e.g. factories producing paints or chemicals); (e) manufacturing, treating, storing, using, transporting, importing, exporting, or disposing of </w:t>
      </w:r>
      <w:hyperlink r:id="rId22" w:history="1">
        <w:r w:rsidRPr="006314C9">
          <w:rPr>
            <w:rFonts w:eastAsia="Times New Roman" w:cs="Times New Roman"/>
            <w:color w:val="444444"/>
            <w:lang w:val="en-GB"/>
          </w:rPr>
          <w:t>nuclear material and hazardous radioactive materials</w:t>
        </w:r>
      </w:hyperlink>
      <w:r w:rsidRPr="006314C9">
        <w:rPr>
          <w:rFonts w:eastAsia="Times New Roman" w:cs="Times New Roman"/>
          <w:color w:val="444444"/>
          <w:lang w:val="en-GB"/>
        </w:rPr>
        <w:t>; (f) killing, possessing or trafficking in noticeable amounts of </w:t>
      </w:r>
      <w:hyperlink r:id="rId23" w:history="1">
        <w:r w:rsidRPr="006314C9">
          <w:rPr>
            <w:rFonts w:eastAsia="Times New Roman" w:cs="Times New Roman"/>
            <w:color w:val="444444"/>
            <w:lang w:val="en-GB"/>
          </w:rPr>
          <w:t>protected animal and plant species</w:t>
        </w:r>
      </w:hyperlink>
      <w:r w:rsidRPr="006314C9">
        <w:rPr>
          <w:rFonts w:eastAsia="Times New Roman" w:cs="Times New Roman"/>
          <w:color w:val="444444"/>
          <w:lang w:val="en-GB"/>
        </w:rPr>
        <w:t>; (g) damaging </w:t>
      </w:r>
      <w:hyperlink r:id="rId24" w:history="1">
        <w:r w:rsidRPr="006314C9">
          <w:rPr>
            <w:rFonts w:eastAsia="Times New Roman" w:cs="Times New Roman"/>
            <w:color w:val="444444"/>
            <w:lang w:val="en-GB"/>
          </w:rPr>
          <w:t>protected habitats</w:t>
        </w:r>
      </w:hyperlink>
      <w:r w:rsidRPr="006314C9">
        <w:rPr>
          <w:rFonts w:eastAsia="Times New Roman" w:cs="Times New Roman"/>
          <w:color w:val="444444"/>
          <w:lang w:val="en-GB"/>
        </w:rPr>
        <w:t>; (h) producing, trading in or using substances that deplete the ozone layer (e.g. chemicals in fire extinguishers or cleaning solvents).</w:t>
      </w:r>
    </w:p>
    <w:p w:rsidR="00521A8F" w:rsidRPr="006314C9" w:rsidRDefault="00521A8F" w:rsidP="00152F5E">
      <w:pPr>
        <w:pStyle w:val="ListParagraph"/>
        <w:numPr>
          <w:ilvl w:val="0"/>
          <w:numId w:val="5"/>
        </w:numPr>
        <w:shd w:val="clear" w:color="auto" w:fill="FFFFFF"/>
        <w:spacing w:before="100" w:beforeAutospacing="1" w:after="100" w:afterAutospacing="1"/>
        <w:rPr>
          <w:rFonts w:eastAsia="Times New Roman" w:cs="Times New Roman"/>
          <w:color w:val="444444"/>
          <w:lang w:val="en-GB"/>
        </w:rPr>
      </w:pPr>
      <w:r w:rsidRPr="006314C9">
        <w:rPr>
          <w:rFonts w:eastAsia="Times New Roman" w:cs="Times New Roman"/>
          <w:color w:val="444444"/>
          <w:lang w:val="en-GB"/>
        </w:rPr>
        <w:t xml:space="preserve">Recommendation on </w:t>
      </w:r>
      <w:r w:rsidRPr="006314C9">
        <w:rPr>
          <w:rFonts w:eastAsia="Times New Roman" w:cs="Times New Roman"/>
          <w:i/>
          <w:color w:val="444444"/>
          <w:lang w:val="en-GB"/>
        </w:rPr>
        <w:t>Minimum Criteria for Environmental Inspections (RMCEI).</w:t>
      </w:r>
      <w:r w:rsidRPr="006314C9">
        <w:rPr>
          <w:rFonts w:eastAsia="Times New Roman" w:cs="Times New Roman"/>
          <w:color w:val="444444"/>
          <w:lang w:val="en-GB"/>
        </w:rPr>
        <w:t xml:space="preserve"> It sets minimum criteria for organising, performing, following-up and publishing the results of environmental inspections in all Member States with the aim of improving compliance and ensuring that EU environment legislation is applied and implemented more consistently.</w:t>
      </w:r>
    </w:p>
    <w:p w:rsidR="00521A8F" w:rsidRPr="006314C9" w:rsidRDefault="00521A8F" w:rsidP="00152F5E">
      <w:pPr>
        <w:rPr>
          <w:rFonts w:cs="Times New Roman"/>
          <w:i/>
          <w:lang w:val="en-GB"/>
        </w:rPr>
      </w:pPr>
      <w:r w:rsidRPr="006314C9">
        <w:rPr>
          <w:rFonts w:cs="Times New Roman"/>
          <w:b/>
          <w:lang w:val="en-GB"/>
        </w:rPr>
        <w:t>Transposition</w:t>
      </w:r>
    </w:p>
    <w:p w:rsidR="00521A8F" w:rsidRPr="006314C9" w:rsidRDefault="002F0A16" w:rsidP="00152F5E">
      <w:pPr>
        <w:rPr>
          <w:rFonts w:cs="Times New Roman"/>
          <w:lang w:val="en-GB"/>
        </w:rPr>
      </w:pPr>
      <w:r w:rsidRPr="006314C9">
        <w:rPr>
          <w:rFonts w:cs="Times New Roman"/>
          <w:lang w:val="en-GB"/>
        </w:rPr>
        <w:t>Three of the bellow mentioned Directives have been fully transposed:</w:t>
      </w:r>
    </w:p>
    <w:p w:rsidR="00521A8F" w:rsidRPr="006314C9" w:rsidRDefault="00521A8F" w:rsidP="00152F5E">
      <w:pPr>
        <w:pStyle w:val="ListParagraph"/>
        <w:numPr>
          <w:ilvl w:val="0"/>
          <w:numId w:val="7"/>
        </w:numPr>
        <w:ind w:left="360"/>
        <w:rPr>
          <w:rFonts w:eastAsia="Times New Roman" w:cs="Times New Roman"/>
          <w:color w:val="444444"/>
          <w:lang w:val="en-GB"/>
        </w:rPr>
      </w:pPr>
      <w:r w:rsidRPr="006314C9">
        <w:rPr>
          <w:rFonts w:cs="Times New Roman"/>
          <w:lang w:val="en-GB"/>
        </w:rPr>
        <w:t>The</w:t>
      </w:r>
      <w:r w:rsidRPr="006314C9">
        <w:rPr>
          <w:rFonts w:cs="Times New Roman"/>
          <w:i/>
          <w:lang w:val="en-GB"/>
        </w:rPr>
        <w:t xml:space="preserve"> SEA Directive</w:t>
      </w:r>
      <w:r w:rsidRPr="006314C9">
        <w:rPr>
          <w:rFonts w:cs="Times New Roman"/>
          <w:lang w:val="en-GB"/>
        </w:rPr>
        <w:t xml:space="preserve"> has been transposed through: (a) </w:t>
      </w:r>
      <w:r w:rsidRPr="006314C9">
        <w:rPr>
          <w:rFonts w:eastAsia="Times New Roman" w:cs="Times New Roman"/>
          <w:color w:val="444444"/>
          <w:lang w:val="en-GB"/>
        </w:rPr>
        <w:t>Law no 91/2013 of 28.2.2013 ”</w:t>
      </w:r>
      <w:proofErr w:type="spellStart"/>
      <w:r w:rsidR="0058240F" w:rsidRPr="006314C9">
        <w:rPr>
          <w:rFonts w:eastAsia="Times New Roman" w:cs="Times New Roman"/>
          <w:color w:val="444444"/>
          <w:lang w:val="en-GB"/>
        </w:rPr>
        <w:t>On</w:t>
      </w:r>
      <w:r w:rsidRPr="006314C9">
        <w:rPr>
          <w:rFonts w:eastAsia="Times New Roman" w:cs="Times New Roman"/>
          <w:color w:val="444444"/>
          <w:lang w:val="en-GB"/>
        </w:rPr>
        <w:t>Strategic</w:t>
      </w:r>
      <w:proofErr w:type="spellEnd"/>
      <w:r w:rsidRPr="006314C9">
        <w:rPr>
          <w:rFonts w:eastAsia="Times New Roman" w:cs="Times New Roman"/>
          <w:color w:val="444444"/>
          <w:lang w:val="en-GB"/>
        </w:rPr>
        <w:t xml:space="preserve"> Environmental Assessment”; (b) DCM no.219, 11.03.2015 “On rules and procedures for consultation with stakeholders and public, as well as public hearing during the process of strategic environmental assessment”; (c) DCM no.220, 07.07.2015“On rules, responsibilities and detailed procedures for SEA in </w:t>
      </w:r>
      <w:proofErr w:type="spellStart"/>
      <w:r w:rsidRPr="006314C9">
        <w:rPr>
          <w:rFonts w:eastAsia="Times New Roman" w:cs="Times New Roman"/>
          <w:color w:val="444444"/>
          <w:lang w:val="en-GB"/>
        </w:rPr>
        <w:t>transboundary</w:t>
      </w:r>
      <w:proofErr w:type="spellEnd"/>
      <w:r w:rsidRPr="006314C9">
        <w:rPr>
          <w:rFonts w:eastAsia="Times New Roman" w:cs="Times New Roman"/>
          <w:color w:val="444444"/>
          <w:lang w:val="en-GB"/>
        </w:rPr>
        <w:t xml:space="preserve"> context”.</w:t>
      </w:r>
    </w:p>
    <w:p w:rsidR="00590337" w:rsidRPr="006314C9" w:rsidRDefault="00521A8F">
      <w:pPr>
        <w:pStyle w:val="ListParagraph"/>
        <w:numPr>
          <w:ilvl w:val="0"/>
          <w:numId w:val="7"/>
        </w:numPr>
        <w:ind w:left="360"/>
        <w:rPr>
          <w:rFonts w:eastAsia="Times New Roman" w:cs="Times New Roman"/>
          <w:color w:val="444444"/>
          <w:lang w:val="en-GB"/>
        </w:rPr>
      </w:pPr>
      <w:r w:rsidRPr="006314C9">
        <w:rPr>
          <w:rFonts w:cs="Times New Roman"/>
          <w:lang w:val="en-GB"/>
        </w:rPr>
        <w:t xml:space="preserve">The directive on </w:t>
      </w:r>
      <w:r w:rsidRPr="006314C9">
        <w:rPr>
          <w:rFonts w:cs="Times New Roman"/>
          <w:i/>
          <w:lang w:val="en-GB"/>
        </w:rPr>
        <w:t xml:space="preserve">Access to Environmental </w:t>
      </w:r>
      <w:proofErr w:type="spellStart"/>
      <w:r w:rsidRPr="006314C9">
        <w:rPr>
          <w:rFonts w:cs="Times New Roman"/>
          <w:i/>
          <w:lang w:val="en-GB"/>
        </w:rPr>
        <w:t>Information</w:t>
      </w:r>
      <w:r w:rsidRPr="006314C9">
        <w:rPr>
          <w:rFonts w:cs="Times New Roman"/>
          <w:color w:val="444444"/>
          <w:shd w:val="clear" w:color="auto" w:fill="FFFFFF"/>
          <w:lang w:val="en-GB"/>
        </w:rPr>
        <w:t>has</w:t>
      </w:r>
      <w:proofErr w:type="spellEnd"/>
      <w:r w:rsidRPr="006314C9">
        <w:rPr>
          <w:rFonts w:cs="Times New Roman"/>
          <w:color w:val="444444"/>
          <w:shd w:val="clear" w:color="auto" w:fill="FFFFFF"/>
          <w:lang w:val="en-GB"/>
        </w:rPr>
        <w:t xml:space="preserve"> been transposed through</w:t>
      </w:r>
      <w:r w:rsidR="002F0A16" w:rsidRPr="006314C9">
        <w:rPr>
          <w:rFonts w:cs="Times New Roman"/>
          <w:color w:val="444444"/>
          <w:shd w:val="clear" w:color="auto" w:fill="FFFFFF"/>
          <w:lang w:val="en-GB"/>
        </w:rPr>
        <w:t xml:space="preserve">: (a) </w:t>
      </w:r>
      <w:r w:rsidRPr="006314C9">
        <w:rPr>
          <w:rFonts w:eastAsia="Times New Roman" w:cs="Times New Roman"/>
          <w:color w:val="444444"/>
          <w:lang w:val="en-GB"/>
        </w:rPr>
        <w:t xml:space="preserve">Law No. 10 431 of 09.06.2011 “On Environmental Protection” </w:t>
      </w:r>
      <w:r w:rsidR="0058240F" w:rsidRPr="006314C9">
        <w:rPr>
          <w:rFonts w:eastAsia="Times New Roman" w:cs="Times New Roman"/>
          <w:color w:val="444444"/>
          <w:lang w:val="en-GB"/>
        </w:rPr>
        <w:t xml:space="preserve">as </w:t>
      </w:r>
      <w:r w:rsidRPr="006314C9">
        <w:rPr>
          <w:rFonts w:eastAsia="Times New Roman" w:cs="Times New Roman"/>
          <w:color w:val="444444"/>
          <w:lang w:val="en-GB"/>
        </w:rPr>
        <w:t>amended; (b) DCM No. 16 dated 04.01.2012 “On Public Access to Environmental Information”; (c) DCM No. 247</w:t>
      </w:r>
      <w:r w:rsidR="0058240F" w:rsidRPr="006314C9">
        <w:rPr>
          <w:rFonts w:eastAsia="Times New Roman" w:cs="Times New Roman"/>
          <w:color w:val="444444"/>
          <w:lang w:val="en-GB"/>
        </w:rPr>
        <w:t>of</w:t>
      </w:r>
      <w:r w:rsidRPr="006314C9">
        <w:rPr>
          <w:rFonts w:eastAsia="Times New Roman" w:cs="Times New Roman"/>
          <w:color w:val="444444"/>
          <w:lang w:val="en-GB"/>
        </w:rPr>
        <w:t xml:space="preserve"> 30</w:t>
      </w:r>
      <w:r w:rsidR="0058240F" w:rsidRPr="006314C9">
        <w:rPr>
          <w:rFonts w:eastAsia="Times New Roman" w:cs="Times New Roman"/>
          <w:color w:val="444444"/>
          <w:lang w:val="en-GB"/>
        </w:rPr>
        <w:t>.</w:t>
      </w:r>
      <w:r w:rsidRPr="006314C9">
        <w:rPr>
          <w:rFonts w:eastAsia="Times New Roman" w:cs="Times New Roman"/>
          <w:color w:val="444444"/>
          <w:lang w:val="en-GB"/>
        </w:rPr>
        <w:t>04</w:t>
      </w:r>
      <w:r w:rsidR="0058240F" w:rsidRPr="006314C9">
        <w:rPr>
          <w:rFonts w:eastAsia="Times New Roman" w:cs="Times New Roman"/>
          <w:color w:val="444444"/>
          <w:lang w:val="en-GB"/>
        </w:rPr>
        <w:t>.</w:t>
      </w:r>
      <w:r w:rsidRPr="006314C9">
        <w:rPr>
          <w:rFonts w:eastAsia="Times New Roman" w:cs="Times New Roman"/>
          <w:color w:val="444444"/>
          <w:lang w:val="en-GB"/>
        </w:rPr>
        <w:t xml:space="preserve">2014 “On determining the rules and requirements of the procedures for information and involvement of the public in environmental decision-making”. Albania has ratified the Aarhus Convention by Law No. 8672, dated 26.10.2000 “On the Aarhus Convention Ratification on public right to information, to participate in decision-making and to have access to justice in environmental matters”. </w:t>
      </w:r>
      <w:proofErr w:type="spellStart"/>
      <w:r w:rsidRPr="006314C9">
        <w:rPr>
          <w:rFonts w:eastAsia="Times New Roman" w:cs="Times New Roman"/>
          <w:color w:val="444444"/>
          <w:lang w:val="en-GB"/>
        </w:rPr>
        <w:t>Besides</w:t>
      </w:r>
      <w:proofErr w:type="gramStart"/>
      <w:r w:rsidRPr="006314C9">
        <w:rPr>
          <w:rFonts w:eastAsia="Times New Roman" w:cs="Times New Roman"/>
          <w:color w:val="444444"/>
          <w:lang w:val="en-GB"/>
        </w:rPr>
        <w:t>,there</w:t>
      </w:r>
      <w:r w:rsidR="0058240F" w:rsidRPr="006314C9">
        <w:rPr>
          <w:rFonts w:eastAsia="Times New Roman" w:cs="Times New Roman"/>
          <w:color w:val="444444"/>
          <w:lang w:val="en-GB"/>
        </w:rPr>
        <w:t>is</w:t>
      </w:r>
      <w:r w:rsidRPr="006314C9">
        <w:rPr>
          <w:rFonts w:eastAsia="Times New Roman" w:cs="Times New Roman"/>
          <w:color w:val="444444"/>
          <w:lang w:val="en-GB"/>
        </w:rPr>
        <w:t>other</w:t>
      </w:r>
      <w:proofErr w:type="spellEnd"/>
      <w:proofErr w:type="gramEnd"/>
      <w:r w:rsidRPr="006314C9">
        <w:rPr>
          <w:rFonts w:eastAsia="Times New Roman" w:cs="Times New Roman"/>
          <w:color w:val="444444"/>
          <w:lang w:val="en-GB"/>
        </w:rPr>
        <w:t xml:space="preserve"> (more horizontal) legislation in force guaranteeing the public rights of information in all sectors </w:t>
      </w:r>
      <w:r w:rsidRPr="006314C9">
        <w:rPr>
          <w:rFonts w:cs="Times New Roman"/>
          <w:lang w:val="en-GB"/>
        </w:rPr>
        <w:t>(including environment).</w:t>
      </w:r>
    </w:p>
    <w:p w:rsidR="00521A8F" w:rsidRPr="006314C9" w:rsidRDefault="00521A8F" w:rsidP="00152F5E">
      <w:pPr>
        <w:pStyle w:val="ListParagraph"/>
        <w:numPr>
          <w:ilvl w:val="0"/>
          <w:numId w:val="7"/>
        </w:numPr>
        <w:ind w:left="360"/>
        <w:rPr>
          <w:rFonts w:cs="Times New Roman"/>
          <w:lang w:val="en-GB"/>
        </w:rPr>
      </w:pPr>
      <w:r w:rsidRPr="006314C9">
        <w:rPr>
          <w:rFonts w:cs="Times New Roman"/>
          <w:lang w:val="en-GB"/>
        </w:rPr>
        <w:t>The</w:t>
      </w:r>
      <w:r w:rsidRPr="006314C9">
        <w:rPr>
          <w:rFonts w:cs="Times New Roman"/>
          <w:i/>
          <w:lang w:val="en-GB"/>
        </w:rPr>
        <w:t xml:space="preserve"> Public Participation </w:t>
      </w:r>
      <w:proofErr w:type="spellStart"/>
      <w:r w:rsidRPr="006314C9">
        <w:rPr>
          <w:rFonts w:cs="Times New Roman"/>
          <w:i/>
          <w:lang w:val="en-GB"/>
        </w:rPr>
        <w:t>Directive</w:t>
      </w:r>
      <w:r w:rsidRPr="006314C9">
        <w:rPr>
          <w:rFonts w:cs="Times New Roman"/>
          <w:lang w:val="en-GB"/>
        </w:rPr>
        <w:t>has</w:t>
      </w:r>
      <w:proofErr w:type="spellEnd"/>
      <w:r w:rsidRPr="006314C9">
        <w:rPr>
          <w:rFonts w:cs="Times New Roman"/>
          <w:lang w:val="en-GB"/>
        </w:rPr>
        <w:t xml:space="preserve"> been transposed through:</w:t>
      </w:r>
      <w:r w:rsidRPr="006314C9">
        <w:rPr>
          <w:rFonts w:cs="Times New Roman"/>
          <w:lang w:val="en-GB" w:eastAsia="en-GB"/>
        </w:rPr>
        <w:t xml:space="preserve"> (a) Law No. 10 431 of 09.06.2011, “On the Protection of Environment” amended; (b) </w:t>
      </w:r>
      <w:r w:rsidRPr="006314C9">
        <w:rPr>
          <w:rFonts w:cs="Times New Roman"/>
          <w:lang w:val="en-GB"/>
        </w:rPr>
        <w:t xml:space="preserve">DCM No.994 of 02.07.2008 “On involvement of the public in environmental decision-making”, amended; (c) </w:t>
      </w:r>
      <w:r w:rsidRPr="006314C9">
        <w:rPr>
          <w:rFonts w:cs="Times New Roman"/>
          <w:lang w:val="en-GB" w:eastAsia="en-GB"/>
        </w:rPr>
        <w:t xml:space="preserve">DCM No. 247 of 30/04/2014 “On determining the rules and requirements of the procedures for information and involvement of the public in environmental decision-making”. Besides, there </w:t>
      </w:r>
      <w:proofErr w:type="spellStart"/>
      <w:r w:rsidR="0058240F" w:rsidRPr="006314C9">
        <w:rPr>
          <w:rFonts w:cs="Times New Roman"/>
          <w:lang w:val="en-GB" w:eastAsia="en-GB"/>
        </w:rPr>
        <w:t>is</w:t>
      </w:r>
      <w:r w:rsidRPr="006314C9">
        <w:rPr>
          <w:rFonts w:cs="Times New Roman"/>
          <w:lang w:val="en-GB" w:eastAsia="en-GB"/>
        </w:rPr>
        <w:t>other</w:t>
      </w:r>
      <w:proofErr w:type="spellEnd"/>
      <w:r w:rsidRPr="006314C9">
        <w:rPr>
          <w:rFonts w:cs="Times New Roman"/>
          <w:lang w:val="en-GB" w:eastAsia="en-GB"/>
        </w:rPr>
        <w:t xml:space="preserve"> (more horizontal) legislation dedicated to the public rights to participate in the decision making in all sectors </w:t>
      </w:r>
      <w:r w:rsidRPr="006314C9">
        <w:rPr>
          <w:rFonts w:cs="Times New Roman"/>
          <w:lang w:val="en-GB"/>
        </w:rPr>
        <w:t>(including environment).</w:t>
      </w:r>
    </w:p>
    <w:p w:rsidR="00521A8F" w:rsidRPr="006314C9" w:rsidRDefault="00521A8F" w:rsidP="00152F5E">
      <w:pPr>
        <w:rPr>
          <w:rFonts w:cs="Times New Roman"/>
          <w:b/>
          <w:lang w:val="en-GB"/>
        </w:rPr>
      </w:pPr>
      <w:r w:rsidRPr="006314C9">
        <w:rPr>
          <w:rFonts w:cs="Times New Roman"/>
          <w:b/>
          <w:lang w:val="en-GB"/>
        </w:rPr>
        <w:t xml:space="preserve">Two of the </w:t>
      </w:r>
      <w:r w:rsidR="00F647CE" w:rsidRPr="006314C9">
        <w:rPr>
          <w:rFonts w:cs="Times New Roman"/>
          <w:b/>
          <w:lang w:val="en-GB"/>
        </w:rPr>
        <w:t xml:space="preserve">bellow </w:t>
      </w:r>
      <w:r w:rsidRPr="006314C9">
        <w:rPr>
          <w:rFonts w:cs="Times New Roman"/>
          <w:b/>
          <w:lang w:val="en-GB"/>
        </w:rPr>
        <w:t>mentioned Directives have been transposed at an advanced level:</w:t>
      </w:r>
    </w:p>
    <w:p w:rsidR="00521A8F" w:rsidRPr="006314C9" w:rsidRDefault="00521A8F" w:rsidP="00152F5E">
      <w:pPr>
        <w:pStyle w:val="ListParagraph"/>
        <w:numPr>
          <w:ilvl w:val="0"/>
          <w:numId w:val="7"/>
        </w:numPr>
        <w:ind w:left="360"/>
        <w:rPr>
          <w:rFonts w:cs="Times New Roman"/>
          <w:lang w:val="en-GB"/>
        </w:rPr>
      </w:pPr>
      <w:r w:rsidRPr="006314C9">
        <w:rPr>
          <w:rFonts w:cs="Times New Roman"/>
          <w:i/>
          <w:lang w:val="en-GB"/>
        </w:rPr>
        <w:t>INSPIRE Directive</w:t>
      </w:r>
      <w:r w:rsidRPr="006314C9">
        <w:rPr>
          <w:rFonts w:cs="Times New Roman"/>
          <w:b/>
          <w:lang w:val="en-GB"/>
        </w:rPr>
        <w:t xml:space="preserve"> (</w:t>
      </w:r>
      <w:r w:rsidRPr="006314C9">
        <w:rPr>
          <w:rFonts w:cs="Times New Roman"/>
          <w:lang w:val="en-GB"/>
        </w:rPr>
        <w:t>92%) has been transposed through the: (a) Law No. 72/2012, dated 28.06.2012 “For the  Organization and Operation of the National Infrastructure of Geospatial Information in the Republic of Albania”; (b) DCM no. 1077, dated 23.12.2015 “On the Approval of the Regulation “The establishment, storage and update of metadata, cataloguing structure and metadata establishment schedule for specific topics”.</w:t>
      </w:r>
    </w:p>
    <w:p w:rsidR="00521A8F" w:rsidRPr="006314C9" w:rsidRDefault="00521A8F" w:rsidP="00152F5E">
      <w:pPr>
        <w:pStyle w:val="ListParagraph"/>
        <w:numPr>
          <w:ilvl w:val="0"/>
          <w:numId w:val="7"/>
        </w:numPr>
        <w:ind w:left="360"/>
        <w:rPr>
          <w:rFonts w:cs="Times New Roman"/>
          <w:lang w:val="en-GB"/>
        </w:rPr>
      </w:pPr>
      <w:r w:rsidRPr="006314C9">
        <w:rPr>
          <w:rFonts w:cs="Times New Roman"/>
          <w:i/>
          <w:lang w:val="en-GB"/>
        </w:rPr>
        <w:t>EIA Directive</w:t>
      </w:r>
      <w:r w:rsidRPr="006314C9">
        <w:rPr>
          <w:rFonts w:cs="Times New Roman"/>
          <w:lang w:val="en-GB"/>
        </w:rPr>
        <w:t xml:space="preserve"> (82%) has been transposed through the: (a) </w:t>
      </w:r>
      <w:r w:rsidRPr="006314C9">
        <w:rPr>
          <w:rFonts w:cs="Times New Roman"/>
          <w:lang w:val="en-GB" w:eastAsia="en-GB"/>
        </w:rPr>
        <w:t xml:space="preserve">Law no. 10440 dated 7.7.2011 “On Environmental Impact Assessment” amended; (b) DCM no. 686 of 29.07.2015 “On adoption of rules, </w:t>
      </w:r>
      <w:r w:rsidRPr="006314C9">
        <w:rPr>
          <w:rFonts w:cs="Times New Roman"/>
          <w:lang w:val="en-GB" w:eastAsia="en-GB"/>
        </w:rPr>
        <w:lastRenderedPageBreak/>
        <w:t xml:space="preserve">responsibilities and deadlines for the development of environmental impact assessment procedure and the transfer procedure of the decision and environmental declaration” amended; </w:t>
      </w:r>
      <w:r w:rsidRPr="006314C9">
        <w:rPr>
          <w:rFonts w:cs="Times New Roman"/>
          <w:lang w:val="en-GB"/>
        </w:rPr>
        <w:t xml:space="preserve">(c) DCM </w:t>
      </w:r>
      <w:r w:rsidR="0058240F" w:rsidRPr="006314C9">
        <w:rPr>
          <w:rFonts w:cs="Times New Roman"/>
          <w:lang w:val="en-GB"/>
        </w:rPr>
        <w:t>No</w:t>
      </w:r>
      <w:r w:rsidRPr="006314C9">
        <w:rPr>
          <w:rFonts w:cs="Times New Roman"/>
          <w:lang w:val="en-GB"/>
        </w:rPr>
        <w:t>. 912, dated 11.11.2015 “On approval of national methodology in the environmental impact assessment process”;</w:t>
      </w:r>
    </w:p>
    <w:p w:rsidR="00521A8F" w:rsidRPr="006314C9" w:rsidRDefault="00521A8F" w:rsidP="00152F5E">
      <w:pPr>
        <w:pStyle w:val="ListParagraph"/>
        <w:ind w:left="360"/>
        <w:rPr>
          <w:rFonts w:cs="Times New Roman"/>
          <w:lang w:val="en-GB"/>
        </w:rPr>
      </w:pPr>
    </w:p>
    <w:p w:rsidR="00521A8F" w:rsidRPr="006314C9" w:rsidRDefault="00521A8F" w:rsidP="00152F5E">
      <w:pPr>
        <w:rPr>
          <w:rFonts w:cs="Times New Roman"/>
          <w:b/>
          <w:lang w:val="en-GB"/>
        </w:rPr>
      </w:pPr>
      <w:r w:rsidRPr="006314C9">
        <w:rPr>
          <w:rFonts w:cs="Times New Roman"/>
          <w:b/>
          <w:lang w:val="en-GB"/>
        </w:rPr>
        <w:t xml:space="preserve">Three of the </w:t>
      </w:r>
      <w:r w:rsidR="00F647CE" w:rsidRPr="006314C9">
        <w:rPr>
          <w:rFonts w:cs="Times New Roman"/>
          <w:b/>
          <w:lang w:val="en-GB"/>
        </w:rPr>
        <w:t xml:space="preserve">bellow </w:t>
      </w:r>
      <w:r w:rsidRPr="006314C9">
        <w:rPr>
          <w:rFonts w:cs="Times New Roman"/>
          <w:b/>
          <w:lang w:val="en-GB"/>
        </w:rPr>
        <w:t xml:space="preserve">Directives/Regulation </w:t>
      </w:r>
      <w:proofErr w:type="gramStart"/>
      <w:r w:rsidRPr="006314C9">
        <w:rPr>
          <w:rFonts w:cs="Times New Roman"/>
          <w:b/>
          <w:lang w:val="en-GB"/>
        </w:rPr>
        <w:t>have</w:t>
      </w:r>
      <w:proofErr w:type="gramEnd"/>
      <w:r w:rsidRPr="006314C9">
        <w:rPr>
          <w:rFonts w:cs="Times New Roman"/>
          <w:b/>
          <w:lang w:val="en-GB"/>
        </w:rPr>
        <w:t xml:space="preserve"> been transposed partially:</w:t>
      </w:r>
    </w:p>
    <w:p w:rsidR="00521A8F" w:rsidRPr="006314C9" w:rsidRDefault="00521A8F" w:rsidP="00152F5E">
      <w:pPr>
        <w:pStyle w:val="ListParagraph"/>
        <w:numPr>
          <w:ilvl w:val="0"/>
          <w:numId w:val="7"/>
        </w:numPr>
        <w:ind w:left="360"/>
        <w:rPr>
          <w:rFonts w:cs="Times New Roman"/>
          <w:lang w:val="en-GB"/>
        </w:rPr>
      </w:pPr>
      <w:r w:rsidRPr="006314C9">
        <w:rPr>
          <w:rFonts w:cs="Times New Roman"/>
          <w:i/>
          <w:lang w:val="en-GB"/>
        </w:rPr>
        <w:t xml:space="preserve">Environmental </w:t>
      </w:r>
      <w:r w:rsidR="0058240F" w:rsidRPr="006314C9">
        <w:rPr>
          <w:rFonts w:cs="Times New Roman"/>
          <w:i/>
          <w:lang w:val="en-GB"/>
        </w:rPr>
        <w:t xml:space="preserve">Liability </w:t>
      </w:r>
      <w:r w:rsidRPr="006314C9">
        <w:rPr>
          <w:rFonts w:cs="Times New Roman"/>
          <w:i/>
          <w:lang w:val="en-GB"/>
        </w:rPr>
        <w:t>Directive</w:t>
      </w:r>
      <w:r w:rsidRPr="006314C9">
        <w:rPr>
          <w:rFonts w:cs="Times New Roman"/>
          <w:lang w:val="en-GB"/>
        </w:rPr>
        <w:t xml:space="preserve"> (28%) has been transposed through </w:t>
      </w:r>
      <w:r w:rsidRPr="006314C9">
        <w:rPr>
          <w:rFonts w:eastAsia="Times New Roman" w:cs="Times New Roman"/>
          <w:color w:val="444444"/>
          <w:lang w:val="en-GB"/>
        </w:rPr>
        <w:t>Law No. 10 431</w:t>
      </w:r>
      <w:r w:rsidRPr="006314C9">
        <w:rPr>
          <w:rFonts w:cs="Times New Roman"/>
          <w:lang w:val="en-GB"/>
        </w:rPr>
        <w:t xml:space="preserve"> of 09.06.2011 “On Environmental Protection” </w:t>
      </w:r>
      <w:r w:rsidR="0058240F" w:rsidRPr="006314C9">
        <w:rPr>
          <w:rFonts w:cs="Times New Roman"/>
          <w:lang w:val="en-GB"/>
        </w:rPr>
        <w:t xml:space="preserve">as </w:t>
      </w:r>
      <w:r w:rsidRPr="006314C9">
        <w:rPr>
          <w:rFonts w:cs="Times New Roman"/>
          <w:lang w:val="en-GB"/>
        </w:rPr>
        <w:t xml:space="preserve">amended. The 2019 EC Progress Report noted that “the lack of a secondary legal framework is hampering the establishment of an adequate process and assessment of environmental liability for damage to the environment”. </w:t>
      </w:r>
    </w:p>
    <w:p w:rsidR="00521A8F" w:rsidRPr="006314C9" w:rsidRDefault="00521A8F" w:rsidP="00152F5E">
      <w:pPr>
        <w:pStyle w:val="ListParagraph"/>
        <w:numPr>
          <w:ilvl w:val="0"/>
          <w:numId w:val="7"/>
        </w:numPr>
        <w:ind w:left="360"/>
        <w:rPr>
          <w:rFonts w:cs="Times New Roman"/>
          <w:lang w:val="en-GB" w:eastAsia="en-GB"/>
        </w:rPr>
      </w:pPr>
      <w:r w:rsidRPr="006314C9">
        <w:rPr>
          <w:rFonts w:cs="Times New Roman"/>
          <w:i/>
          <w:lang w:val="en-GB"/>
        </w:rPr>
        <w:t>Environmental Crime Directive</w:t>
      </w:r>
      <w:r w:rsidRPr="006314C9">
        <w:rPr>
          <w:rFonts w:cs="Times New Roman"/>
          <w:lang w:val="en-GB"/>
        </w:rPr>
        <w:t xml:space="preserve"> (65%) has been transposed through: (a) </w:t>
      </w:r>
      <w:r w:rsidRPr="006314C9">
        <w:rPr>
          <w:rFonts w:cs="Times New Roman"/>
          <w:lang w:val="en-GB" w:eastAsia="en-GB"/>
        </w:rPr>
        <w:t xml:space="preserve">Law Nr.895 dated 27.1.1995 “Criminal Code of the Republic of </w:t>
      </w:r>
      <w:proofErr w:type="spellStart"/>
      <w:r w:rsidRPr="006314C9">
        <w:rPr>
          <w:rFonts w:cs="Times New Roman"/>
          <w:lang w:val="en-GB" w:eastAsia="en-GB"/>
        </w:rPr>
        <w:t>Albania”</w:t>
      </w:r>
      <w:r w:rsidR="0058240F" w:rsidRPr="006314C9">
        <w:rPr>
          <w:rFonts w:cs="Times New Roman"/>
          <w:lang w:val="en-GB" w:eastAsia="en-GB"/>
        </w:rPr>
        <w:t>as</w:t>
      </w:r>
      <w:proofErr w:type="spellEnd"/>
      <w:r w:rsidR="0058240F" w:rsidRPr="006314C9">
        <w:rPr>
          <w:rFonts w:cs="Times New Roman"/>
          <w:lang w:val="en-GB" w:eastAsia="en-GB"/>
        </w:rPr>
        <w:t xml:space="preserve"> </w:t>
      </w:r>
      <w:r w:rsidRPr="006314C9">
        <w:rPr>
          <w:rFonts w:cs="Times New Roman"/>
          <w:lang w:val="en-GB" w:eastAsia="en-GB"/>
        </w:rPr>
        <w:t xml:space="preserve">amended; (b) Law 9754/2007 “On the criminal responsibility of legal entities”. The 2019 EC Progress Report emphasised that “further alignment with the directive on environmental crime still needs to be done”. </w:t>
      </w:r>
    </w:p>
    <w:p w:rsidR="004E346F" w:rsidRPr="006314C9" w:rsidRDefault="00521A8F" w:rsidP="00152F5E">
      <w:pPr>
        <w:pStyle w:val="ListParagraph"/>
        <w:numPr>
          <w:ilvl w:val="0"/>
          <w:numId w:val="7"/>
        </w:numPr>
        <w:ind w:left="360"/>
        <w:rPr>
          <w:rFonts w:cs="Times New Roman"/>
          <w:lang w:val="en-GB"/>
        </w:rPr>
      </w:pPr>
      <w:r w:rsidRPr="006314C9">
        <w:rPr>
          <w:rFonts w:cs="Times New Roman"/>
          <w:i/>
          <w:lang w:val="en-GB"/>
        </w:rPr>
        <w:t>Regulation on Minimum Criteria for Inspection</w:t>
      </w:r>
      <w:r w:rsidRPr="006314C9">
        <w:rPr>
          <w:rFonts w:cs="Times New Roman"/>
          <w:lang w:val="en-GB"/>
        </w:rPr>
        <w:t xml:space="preserve"> (62%) has been </w:t>
      </w:r>
      <w:proofErr w:type="spellStart"/>
      <w:r w:rsidR="00C51001" w:rsidRPr="006314C9">
        <w:rPr>
          <w:rFonts w:cs="Times New Roman"/>
          <w:lang w:val="en-GB"/>
        </w:rPr>
        <w:t>aligned</w:t>
      </w:r>
      <w:r w:rsidRPr="006314C9">
        <w:rPr>
          <w:rFonts w:cs="Times New Roman"/>
          <w:lang w:val="en-GB"/>
        </w:rPr>
        <w:t>through</w:t>
      </w:r>
      <w:proofErr w:type="spellEnd"/>
      <w:r w:rsidRPr="006314C9">
        <w:rPr>
          <w:rFonts w:cs="Times New Roman"/>
          <w:lang w:val="en-GB"/>
        </w:rPr>
        <w:t xml:space="preserve">: (a) Law 10431, dated 9.06.2011 “On Environmental Protection” as amended; (b) Law </w:t>
      </w:r>
      <w:r w:rsidR="00C51001" w:rsidRPr="006314C9">
        <w:rPr>
          <w:rFonts w:cs="Times New Roman"/>
          <w:lang w:val="en-GB"/>
        </w:rPr>
        <w:t>No</w:t>
      </w:r>
      <w:r w:rsidRPr="006314C9">
        <w:rPr>
          <w:rFonts w:cs="Times New Roman"/>
          <w:lang w:val="en-GB"/>
        </w:rPr>
        <w:t xml:space="preserve">. 10448 dated 14.7.2011”On Environmental Permitting” </w:t>
      </w:r>
      <w:r w:rsidR="00C51001" w:rsidRPr="006314C9">
        <w:rPr>
          <w:rFonts w:cs="Times New Roman"/>
          <w:lang w:val="en-GB"/>
        </w:rPr>
        <w:t xml:space="preserve">as </w:t>
      </w:r>
      <w:r w:rsidRPr="006314C9">
        <w:rPr>
          <w:rFonts w:cs="Times New Roman"/>
          <w:lang w:val="en-GB"/>
        </w:rPr>
        <w:t xml:space="preserve">amended; (c) Law no. 9700 of 26.03.2007 “On the protection of environment on </w:t>
      </w:r>
      <w:proofErr w:type="spellStart"/>
      <w:r w:rsidRPr="006314C9">
        <w:rPr>
          <w:rFonts w:cs="Times New Roman"/>
          <w:lang w:val="en-GB"/>
        </w:rPr>
        <w:t>transboundary</w:t>
      </w:r>
      <w:proofErr w:type="spellEnd"/>
      <w:r w:rsidRPr="006314C9">
        <w:rPr>
          <w:rFonts w:cs="Times New Roman"/>
          <w:lang w:val="en-GB"/>
        </w:rPr>
        <w:t xml:space="preserve"> level”. Besides, there is also other legislation on inspection in the </w:t>
      </w:r>
      <w:proofErr w:type="spellStart"/>
      <w:r w:rsidRPr="006314C9">
        <w:rPr>
          <w:rFonts w:cs="Times New Roman"/>
          <w:lang w:val="en-GB"/>
        </w:rPr>
        <w:t>RoA</w:t>
      </w:r>
      <w:proofErr w:type="spellEnd"/>
      <w:r w:rsidRPr="006314C9">
        <w:rPr>
          <w:rFonts w:cs="Times New Roman"/>
          <w:lang w:val="en-GB"/>
        </w:rPr>
        <w:t xml:space="preserve"> applying to all sectors (including environment).</w:t>
      </w:r>
    </w:p>
    <w:p w:rsidR="004E346F" w:rsidRPr="006314C9" w:rsidRDefault="004E346F" w:rsidP="00152F5E">
      <w:pPr>
        <w:pStyle w:val="ListParagraph"/>
        <w:ind w:left="0"/>
        <w:rPr>
          <w:rFonts w:cs="Times New Roman"/>
          <w:lang w:val="en-GB"/>
        </w:rPr>
      </w:pPr>
    </w:p>
    <w:p w:rsidR="004E346F" w:rsidRPr="006314C9" w:rsidRDefault="004E346F" w:rsidP="00152F5E">
      <w:pPr>
        <w:pStyle w:val="ListParagraph"/>
        <w:ind w:left="0"/>
        <w:rPr>
          <w:rFonts w:cs="Times New Roman"/>
          <w:lang w:val="en-GB"/>
        </w:rPr>
      </w:pPr>
      <w:r w:rsidRPr="006314C9">
        <w:rPr>
          <w:rFonts w:cs="Times New Roman"/>
          <w:lang w:val="en-GB"/>
        </w:rPr>
        <w:t xml:space="preserve">However, even the conclusion can be made that level </w:t>
      </w:r>
      <w:r w:rsidR="00C51001" w:rsidRPr="006314C9">
        <w:rPr>
          <w:rFonts w:cs="Times New Roman"/>
          <w:lang w:val="en-GB"/>
        </w:rPr>
        <w:t xml:space="preserve">of transposition for </w:t>
      </w:r>
      <w:r w:rsidRPr="006314C9">
        <w:rPr>
          <w:rFonts w:cs="Times New Roman"/>
          <w:lang w:val="en-GB"/>
        </w:rPr>
        <w:t xml:space="preserve">EU </w:t>
      </w:r>
      <w:r w:rsidR="00C51001" w:rsidRPr="006314C9">
        <w:rPr>
          <w:rFonts w:cs="Times New Roman"/>
          <w:lang w:val="en-GB"/>
        </w:rPr>
        <w:t xml:space="preserve">horizontal </w:t>
      </w:r>
      <w:r w:rsidRPr="006314C9">
        <w:rPr>
          <w:rFonts w:cs="Times New Roman"/>
          <w:lang w:val="en-GB"/>
        </w:rPr>
        <w:t xml:space="preserve">legislation </w:t>
      </w:r>
      <w:r w:rsidR="00C51001" w:rsidRPr="006314C9">
        <w:rPr>
          <w:rFonts w:cs="Times New Roman"/>
          <w:lang w:val="en-GB"/>
        </w:rPr>
        <w:t xml:space="preserve">is rather </w:t>
      </w:r>
      <w:r w:rsidRPr="006314C9">
        <w:rPr>
          <w:rFonts w:cs="Times New Roman"/>
          <w:lang w:val="en-GB"/>
        </w:rPr>
        <w:t xml:space="preserve">good, still many legal </w:t>
      </w:r>
      <w:r w:rsidR="00191D03" w:rsidRPr="006314C9">
        <w:rPr>
          <w:rFonts w:cs="Times New Roman"/>
          <w:lang w:val="en-GB"/>
        </w:rPr>
        <w:t>instruments</w:t>
      </w:r>
      <w:r w:rsidRPr="006314C9">
        <w:rPr>
          <w:rFonts w:cs="Times New Roman"/>
          <w:lang w:val="en-GB"/>
        </w:rPr>
        <w:t xml:space="preserve"> are missing </w:t>
      </w:r>
      <w:r w:rsidR="00191D03" w:rsidRPr="006314C9">
        <w:rPr>
          <w:rFonts w:cs="Times New Roman"/>
          <w:lang w:val="en-GB"/>
        </w:rPr>
        <w:t xml:space="preserve">for good implementation. Consequently, there is a need to check the fitness of the national legislation in regard to implementation and </w:t>
      </w:r>
      <w:r w:rsidR="00C51001" w:rsidRPr="006314C9">
        <w:rPr>
          <w:rFonts w:cs="Times New Roman"/>
          <w:lang w:val="en-GB"/>
        </w:rPr>
        <w:t xml:space="preserve">capacities of </w:t>
      </w:r>
      <w:r w:rsidR="00191D03" w:rsidRPr="006314C9">
        <w:rPr>
          <w:rFonts w:cs="Times New Roman"/>
          <w:lang w:val="en-GB"/>
        </w:rPr>
        <w:t>current Albanian administrative structure in environment and to revise</w:t>
      </w:r>
      <w:r w:rsidR="00C51001" w:rsidRPr="006314C9">
        <w:rPr>
          <w:rFonts w:cs="Times New Roman"/>
          <w:lang w:val="en-GB"/>
        </w:rPr>
        <w:t>/ strengthen</w:t>
      </w:r>
      <w:r w:rsidR="00191D03" w:rsidRPr="006314C9">
        <w:rPr>
          <w:rFonts w:cs="Times New Roman"/>
          <w:lang w:val="en-GB"/>
        </w:rPr>
        <w:t xml:space="preserve"> accordingly as to provide necessary conditions for its implementation. </w:t>
      </w:r>
    </w:p>
    <w:p w:rsidR="00521A8F" w:rsidRPr="006314C9" w:rsidRDefault="00521A8F" w:rsidP="00152F5E">
      <w:pPr>
        <w:pStyle w:val="ListParagraph"/>
        <w:ind w:left="360"/>
        <w:rPr>
          <w:rFonts w:cs="Times New Roman"/>
          <w:lang w:val="en-GB"/>
        </w:rPr>
      </w:pPr>
    </w:p>
    <w:p w:rsidR="00521A8F" w:rsidRPr="006314C9" w:rsidRDefault="00521A8F" w:rsidP="00152F5E">
      <w:pPr>
        <w:rPr>
          <w:rFonts w:cs="Times New Roman"/>
          <w:i/>
          <w:lang w:val="en-GB"/>
        </w:rPr>
      </w:pPr>
      <w:r w:rsidRPr="006314C9">
        <w:rPr>
          <w:rFonts w:cs="Times New Roman"/>
          <w:b/>
          <w:lang w:val="en-GB"/>
        </w:rPr>
        <w:t>Implementation</w:t>
      </w:r>
    </w:p>
    <w:p w:rsidR="00521A8F" w:rsidRPr="006314C9" w:rsidRDefault="00521A8F" w:rsidP="00152F5E">
      <w:pPr>
        <w:rPr>
          <w:rFonts w:cs="Times New Roman"/>
          <w:lang w:val="en-GB"/>
        </w:rPr>
      </w:pPr>
      <w:r w:rsidRPr="006314C9">
        <w:rPr>
          <w:rFonts w:cs="Times New Roman"/>
          <w:lang w:val="en-GB"/>
        </w:rPr>
        <w:t xml:space="preserve">Directive Implementation Plan (DIP) has been prepared </w:t>
      </w:r>
      <w:r w:rsidR="00F647CE" w:rsidRPr="006314C9">
        <w:rPr>
          <w:rFonts w:cs="Times New Roman"/>
          <w:lang w:val="en-GB"/>
        </w:rPr>
        <w:t xml:space="preserve">in 2018 </w:t>
      </w:r>
      <w:r w:rsidRPr="006314C9">
        <w:rPr>
          <w:rFonts w:cs="Times New Roman"/>
          <w:lang w:val="en-GB"/>
        </w:rPr>
        <w:t>only for 2 out of the 8 acts of this sub-chapter, respectively for:</w:t>
      </w:r>
    </w:p>
    <w:p w:rsidR="00521A8F" w:rsidRPr="006314C9" w:rsidRDefault="00521A8F" w:rsidP="00152F5E">
      <w:pPr>
        <w:pStyle w:val="ListParagraph"/>
        <w:numPr>
          <w:ilvl w:val="0"/>
          <w:numId w:val="7"/>
        </w:numPr>
        <w:ind w:left="360"/>
        <w:rPr>
          <w:rFonts w:cs="Times New Roman"/>
          <w:lang w:val="en-GB"/>
        </w:rPr>
      </w:pPr>
      <w:r w:rsidRPr="006314C9">
        <w:rPr>
          <w:rFonts w:cs="Times New Roman"/>
          <w:lang w:val="en-GB"/>
        </w:rPr>
        <w:t>Directive 2003/4/EC on public access to environmental information; and</w:t>
      </w:r>
    </w:p>
    <w:p w:rsidR="00521A8F" w:rsidRPr="006314C9" w:rsidRDefault="00521A8F" w:rsidP="00152F5E">
      <w:pPr>
        <w:pStyle w:val="ListParagraph"/>
        <w:numPr>
          <w:ilvl w:val="0"/>
          <w:numId w:val="7"/>
        </w:numPr>
        <w:ind w:left="360"/>
        <w:rPr>
          <w:rFonts w:cs="Times New Roman"/>
          <w:lang w:val="en-GB"/>
        </w:rPr>
      </w:pPr>
      <w:r w:rsidRPr="006314C9">
        <w:rPr>
          <w:rFonts w:cs="Times New Roman"/>
          <w:lang w:val="en-GB"/>
        </w:rPr>
        <w:t>EIA Directive (Directive 85/337/EEC). The latest amendments to this Directive have not be</w:t>
      </w:r>
      <w:r w:rsidR="008774DA" w:rsidRPr="006314C9">
        <w:rPr>
          <w:rFonts w:cs="Times New Roman"/>
          <w:lang w:val="en-GB"/>
        </w:rPr>
        <w:t>en</w:t>
      </w:r>
      <w:r w:rsidRPr="006314C9">
        <w:rPr>
          <w:rFonts w:cs="Times New Roman"/>
          <w:lang w:val="en-GB"/>
        </w:rPr>
        <w:t xml:space="preserve"> considered. It is expected that an update/review of it would not take much effort. </w:t>
      </w:r>
    </w:p>
    <w:p w:rsidR="008774DA" w:rsidRPr="006314C9" w:rsidRDefault="008774DA" w:rsidP="00152F5E">
      <w:pPr>
        <w:rPr>
          <w:rFonts w:cs="Times New Roman"/>
          <w:lang w:val="en-GB"/>
        </w:rPr>
      </w:pPr>
      <w:r w:rsidRPr="006314C9">
        <w:rPr>
          <w:rFonts w:cs="Times New Roman"/>
          <w:lang w:val="en-GB"/>
        </w:rPr>
        <w:t xml:space="preserve">These DSIPs have not been taken comprehensively into implementation and since the administrative structure has gone </w:t>
      </w:r>
      <w:r w:rsidR="00B03C48" w:rsidRPr="006314C9">
        <w:rPr>
          <w:rFonts w:cs="Times New Roman"/>
          <w:lang w:val="en-GB"/>
        </w:rPr>
        <w:t>through</w:t>
      </w:r>
      <w:r w:rsidRPr="006314C9">
        <w:rPr>
          <w:rFonts w:cs="Times New Roman"/>
          <w:lang w:val="en-GB"/>
        </w:rPr>
        <w:t xml:space="preserve"> significant change since their development they are of a little value in supporting current implementation of these two directives. </w:t>
      </w:r>
    </w:p>
    <w:p w:rsidR="00521A8F" w:rsidRPr="006314C9" w:rsidRDefault="00521A8F" w:rsidP="00152F5E">
      <w:pPr>
        <w:rPr>
          <w:rFonts w:cs="Times New Roman"/>
          <w:lang w:val="en-GB" w:eastAsia="it-IT"/>
        </w:rPr>
      </w:pPr>
      <w:r w:rsidRPr="006314C9">
        <w:rPr>
          <w:rFonts w:cs="Times New Roman"/>
          <w:lang w:val="en-GB"/>
        </w:rPr>
        <w:t xml:space="preserve">An </w:t>
      </w:r>
      <w:r w:rsidRPr="006314C9">
        <w:rPr>
          <w:rFonts w:cs="Times New Roman"/>
          <w:i/>
          <w:lang w:val="en-GB"/>
        </w:rPr>
        <w:t>Institutional Development Plan (IDP)</w:t>
      </w:r>
      <w:r w:rsidRPr="006314C9">
        <w:rPr>
          <w:rFonts w:cs="Times New Roman"/>
          <w:lang w:val="en-GB"/>
        </w:rPr>
        <w:t xml:space="preserve"> has been prepared for the</w:t>
      </w:r>
      <w:r w:rsidR="002B3BF3" w:rsidRPr="006314C9">
        <w:rPr>
          <w:rFonts w:cs="Times New Roman"/>
          <w:lang w:val="en-GB"/>
        </w:rPr>
        <w:t xml:space="preserve"> State Inspectorate for Environment, Forestry and Water </w:t>
      </w:r>
      <w:r w:rsidR="00A32491" w:rsidRPr="006314C9">
        <w:rPr>
          <w:rFonts w:cs="Times New Roman"/>
          <w:lang w:val="en-GB"/>
        </w:rPr>
        <w:t>and Tourism (</w:t>
      </w:r>
      <w:r w:rsidRPr="006314C9">
        <w:rPr>
          <w:rFonts w:cs="Times New Roman"/>
          <w:lang w:val="en-GB" w:eastAsia="it-IT"/>
        </w:rPr>
        <w:t>SIEFWT</w:t>
      </w:r>
      <w:r w:rsidR="00A32491" w:rsidRPr="006314C9">
        <w:rPr>
          <w:rFonts w:cs="Times New Roman"/>
          <w:lang w:val="en-GB" w:eastAsia="it-IT"/>
        </w:rPr>
        <w:t>)</w:t>
      </w:r>
      <w:r w:rsidRPr="006314C9">
        <w:rPr>
          <w:rFonts w:cs="Times New Roman"/>
          <w:lang w:val="en-GB"/>
        </w:rPr>
        <w:t xml:space="preserve"> under IBECA project. The </w:t>
      </w:r>
      <w:bookmarkStart w:id="5" w:name="_Toc479690268"/>
      <w:r w:rsidRPr="006314C9">
        <w:rPr>
          <w:rFonts w:cs="Times New Roman"/>
          <w:lang w:val="en-GB" w:eastAsia="it-IT"/>
        </w:rPr>
        <w:t>key areas of activity planned under IDP for the period 2018 to 2022</w:t>
      </w:r>
      <w:bookmarkEnd w:id="5"/>
      <w:r w:rsidRPr="006314C9">
        <w:rPr>
          <w:rFonts w:cs="Times New Roman"/>
          <w:lang w:val="en-GB" w:eastAsia="it-IT"/>
        </w:rPr>
        <w:t xml:space="preserve"> include: </w:t>
      </w:r>
      <w:bookmarkStart w:id="6" w:name="_Toc479690269"/>
      <w:r w:rsidRPr="006314C9">
        <w:rPr>
          <w:rFonts w:cs="Times New Roman"/>
          <w:lang w:val="en-GB" w:eastAsia="it-IT"/>
        </w:rPr>
        <w:t>Capacity Building</w:t>
      </w:r>
      <w:bookmarkEnd w:id="6"/>
      <w:r w:rsidRPr="006314C9">
        <w:rPr>
          <w:rFonts w:cs="Times New Roman"/>
          <w:lang w:val="en-GB" w:eastAsia="it-IT"/>
        </w:rPr>
        <w:t xml:space="preserve">, </w:t>
      </w:r>
      <w:bookmarkStart w:id="7" w:name="_Toc479690271"/>
      <w:r w:rsidRPr="006314C9">
        <w:rPr>
          <w:rFonts w:cs="Times New Roman"/>
          <w:lang w:val="en-GB" w:eastAsia="it-IT"/>
        </w:rPr>
        <w:t>Information Management Systems</w:t>
      </w:r>
      <w:bookmarkEnd w:id="7"/>
      <w:r w:rsidRPr="006314C9">
        <w:rPr>
          <w:rFonts w:cs="Times New Roman"/>
          <w:lang w:val="en-GB" w:eastAsia="it-IT"/>
        </w:rPr>
        <w:t xml:space="preserve">, </w:t>
      </w:r>
      <w:bookmarkStart w:id="8" w:name="_Toc479690272"/>
      <w:r w:rsidRPr="006314C9">
        <w:rPr>
          <w:rFonts w:cs="Times New Roman"/>
          <w:lang w:val="en-GB" w:eastAsia="it-IT"/>
        </w:rPr>
        <w:t>Intra-Agency Communications</w:t>
      </w:r>
      <w:bookmarkEnd w:id="8"/>
      <w:r w:rsidRPr="006314C9">
        <w:rPr>
          <w:rFonts w:cs="Times New Roman"/>
          <w:lang w:val="en-GB" w:eastAsia="it-IT"/>
        </w:rPr>
        <w:t xml:space="preserve">, </w:t>
      </w:r>
      <w:bookmarkStart w:id="9" w:name="_Toc479690273"/>
      <w:r w:rsidRPr="006314C9">
        <w:rPr>
          <w:rFonts w:cs="Times New Roman"/>
          <w:lang w:val="en-GB" w:eastAsia="it-IT"/>
        </w:rPr>
        <w:t>Inspection Planning &amp; Resourcing</w:t>
      </w:r>
      <w:bookmarkEnd w:id="9"/>
      <w:r w:rsidRPr="006314C9">
        <w:rPr>
          <w:rFonts w:cs="Times New Roman"/>
          <w:lang w:val="en-GB" w:eastAsia="it-IT"/>
        </w:rPr>
        <w:t xml:space="preserve">, </w:t>
      </w:r>
      <w:bookmarkStart w:id="10" w:name="_Toc479690274"/>
      <w:r w:rsidRPr="006314C9">
        <w:rPr>
          <w:rFonts w:cs="Times New Roman"/>
          <w:lang w:val="en-GB" w:eastAsia="it-IT"/>
        </w:rPr>
        <w:t>Inspections</w:t>
      </w:r>
      <w:bookmarkEnd w:id="10"/>
      <w:r w:rsidRPr="006314C9">
        <w:rPr>
          <w:rFonts w:cs="Times New Roman"/>
          <w:lang w:val="en-GB" w:eastAsia="it-IT"/>
        </w:rPr>
        <w:t xml:space="preserve">, </w:t>
      </w:r>
      <w:bookmarkStart w:id="11" w:name="_Toc479690275"/>
      <w:r w:rsidRPr="006314C9">
        <w:rPr>
          <w:rFonts w:cs="Times New Roman"/>
          <w:lang w:val="en-GB" w:eastAsia="it-IT"/>
        </w:rPr>
        <w:t>Environment Crime</w:t>
      </w:r>
      <w:bookmarkEnd w:id="11"/>
      <w:r w:rsidRPr="006314C9">
        <w:rPr>
          <w:rFonts w:cs="Times New Roman"/>
          <w:lang w:val="en-GB" w:eastAsia="it-IT"/>
        </w:rPr>
        <w:t xml:space="preserve">, </w:t>
      </w:r>
      <w:bookmarkStart w:id="12" w:name="_Toc479690277"/>
      <w:r w:rsidRPr="006314C9">
        <w:rPr>
          <w:rFonts w:cs="Times New Roman"/>
          <w:lang w:val="en-GB" w:eastAsia="it-IT"/>
        </w:rPr>
        <w:t>Illegal Waste Disposal</w:t>
      </w:r>
      <w:bookmarkEnd w:id="12"/>
      <w:r w:rsidRPr="006314C9">
        <w:rPr>
          <w:rFonts w:cs="Times New Roman"/>
          <w:lang w:val="en-GB" w:eastAsia="it-IT"/>
        </w:rPr>
        <w:t xml:space="preserve">, </w:t>
      </w:r>
      <w:bookmarkStart w:id="13" w:name="_Toc479690278"/>
      <w:r w:rsidRPr="006314C9">
        <w:rPr>
          <w:rFonts w:cs="Times New Roman"/>
          <w:lang w:val="en-GB" w:eastAsia="it-IT"/>
        </w:rPr>
        <w:t>Wildlife Crime</w:t>
      </w:r>
      <w:bookmarkEnd w:id="13"/>
      <w:r w:rsidRPr="006314C9">
        <w:rPr>
          <w:rFonts w:cs="Times New Roman"/>
          <w:lang w:val="en-GB" w:eastAsia="it-IT"/>
        </w:rPr>
        <w:t xml:space="preserve">, </w:t>
      </w:r>
      <w:bookmarkStart w:id="14" w:name="_Toc479690279"/>
      <w:r w:rsidRPr="006314C9">
        <w:rPr>
          <w:rFonts w:cs="Times New Roman"/>
          <w:lang w:val="en-GB" w:eastAsia="it-IT"/>
        </w:rPr>
        <w:t>and International Environmental Crime</w:t>
      </w:r>
      <w:bookmarkEnd w:id="14"/>
      <w:r w:rsidRPr="006314C9">
        <w:rPr>
          <w:rFonts w:cs="Times New Roman"/>
          <w:lang w:val="en-GB" w:eastAsia="it-IT"/>
        </w:rPr>
        <w:t xml:space="preserve">. Key Performance Indicators have been agreed to assess their activities. </w:t>
      </w:r>
      <w:r w:rsidR="00B03C48" w:rsidRPr="006314C9">
        <w:rPr>
          <w:rFonts w:cs="Times New Roman"/>
          <w:lang w:val="en-GB" w:eastAsia="it-IT"/>
        </w:rPr>
        <w:t xml:space="preserve">However, in September 2019 the Council of Minister has adopted a decision where the environmental inspection functions should be merged with National Environmental Agency (NEA). This will create a challenge to implement the IDP for the SIEFWT. </w:t>
      </w:r>
    </w:p>
    <w:p w:rsidR="00521A8F" w:rsidRPr="006314C9" w:rsidRDefault="00521A8F" w:rsidP="00152F5E">
      <w:pPr>
        <w:rPr>
          <w:rFonts w:cs="Times New Roman"/>
          <w:lang w:val="en-GB" w:eastAsia="it-IT"/>
        </w:rPr>
      </w:pPr>
      <w:r w:rsidRPr="006314C9">
        <w:rPr>
          <w:rFonts w:cs="Times New Roman"/>
          <w:lang w:val="en-GB" w:eastAsia="it-IT"/>
        </w:rPr>
        <w:t>Out of eight acts screened under this sub-chapter:</w:t>
      </w:r>
    </w:p>
    <w:p w:rsidR="00521A8F" w:rsidRPr="006314C9" w:rsidRDefault="00521A8F" w:rsidP="00152F5E">
      <w:pPr>
        <w:pStyle w:val="ListParagraph"/>
        <w:numPr>
          <w:ilvl w:val="0"/>
          <w:numId w:val="6"/>
        </w:numPr>
        <w:rPr>
          <w:rFonts w:cs="Times New Roman"/>
          <w:lang w:val="en-GB"/>
        </w:rPr>
      </w:pPr>
      <w:r w:rsidRPr="006314C9">
        <w:rPr>
          <w:rFonts w:cs="Times New Roman"/>
          <w:lang w:val="en-GB" w:eastAsia="it-IT"/>
        </w:rPr>
        <w:lastRenderedPageBreak/>
        <w:t xml:space="preserve">Four are </w:t>
      </w:r>
      <w:r w:rsidR="002B3BF3" w:rsidRPr="006314C9">
        <w:rPr>
          <w:rFonts w:cs="Times New Roman"/>
          <w:lang w:val="en-GB" w:eastAsia="it-IT"/>
        </w:rPr>
        <w:t xml:space="preserve">considered to be </w:t>
      </w:r>
      <w:r w:rsidRPr="006314C9">
        <w:rPr>
          <w:rFonts w:cs="Times New Roman"/>
          <w:lang w:val="en-GB" w:eastAsia="it-IT"/>
        </w:rPr>
        <w:t xml:space="preserve">implemented at </w:t>
      </w:r>
      <w:r w:rsidR="002B3BF3" w:rsidRPr="006314C9">
        <w:rPr>
          <w:rFonts w:cs="Times New Roman"/>
          <w:lang w:val="en-GB" w:eastAsia="it-IT"/>
        </w:rPr>
        <w:t>good</w:t>
      </w:r>
      <w:r w:rsidRPr="006314C9">
        <w:rPr>
          <w:rFonts w:cs="Times New Roman"/>
          <w:lang w:val="en-GB" w:eastAsia="it-IT"/>
        </w:rPr>
        <w:t xml:space="preserve"> level: </w:t>
      </w:r>
      <w:r w:rsidRPr="006314C9">
        <w:rPr>
          <w:rFonts w:cs="Times New Roman"/>
          <w:i/>
          <w:lang w:val="en-GB" w:eastAsia="it-IT"/>
        </w:rPr>
        <w:t>EIA Directive, SEA Directive, Access to Environmental Information and Public Participation Directive</w:t>
      </w:r>
      <w:r w:rsidRPr="006314C9">
        <w:rPr>
          <w:rFonts w:cs="Times New Roman"/>
          <w:lang w:val="en-GB" w:eastAsia="it-IT"/>
        </w:rPr>
        <w:t xml:space="preserve">. However, </w:t>
      </w:r>
      <w:r w:rsidR="002B3BF3" w:rsidRPr="006314C9">
        <w:rPr>
          <w:rFonts w:cs="Times New Roman"/>
          <w:lang w:val="en-GB" w:eastAsia="it-IT"/>
        </w:rPr>
        <w:t>there is a need to improve public consultation procedure, the quality and procedures of conducted environmental impact assessment, both for projects and planning documents. Establishment of a unite within MTE responsible for public participation and information dissemination might improve the situation</w:t>
      </w:r>
      <w:r w:rsidR="009F33D1" w:rsidRPr="006314C9">
        <w:rPr>
          <w:rFonts w:cs="Times New Roman"/>
          <w:lang w:val="en-GB" w:eastAsia="it-IT"/>
        </w:rPr>
        <w:t>;</w:t>
      </w:r>
    </w:p>
    <w:p w:rsidR="00521A8F" w:rsidRPr="006314C9" w:rsidRDefault="00521A8F" w:rsidP="00152F5E">
      <w:pPr>
        <w:pStyle w:val="ListParagraph"/>
        <w:numPr>
          <w:ilvl w:val="0"/>
          <w:numId w:val="6"/>
        </w:numPr>
        <w:rPr>
          <w:rFonts w:cs="Times New Roman"/>
          <w:lang w:val="en-GB" w:eastAsia="it-IT"/>
        </w:rPr>
      </w:pPr>
      <w:r w:rsidRPr="006314C9">
        <w:rPr>
          <w:rFonts w:cs="Times New Roman"/>
          <w:i/>
          <w:lang w:val="en-GB" w:eastAsia="it-IT"/>
        </w:rPr>
        <w:t>RMCEI Recommendation</w:t>
      </w:r>
      <w:r w:rsidRPr="006314C9">
        <w:rPr>
          <w:rFonts w:cs="Times New Roman"/>
          <w:lang w:val="en-GB" w:eastAsia="it-IT"/>
        </w:rPr>
        <w:t xml:space="preserve"> is being partly implemented</w:t>
      </w:r>
      <w:r w:rsidR="00A32491" w:rsidRPr="006314C9">
        <w:rPr>
          <w:rFonts w:cs="Times New Roman"/>
          <w:lang w:val="en-GB" w:eastAsia="it-IT"/>
        </w:rPr>
        <w:t xml:space="preserve">, however the support is </w:t>
      </w:r>
      <w:r w:rsidR="00B03C48" w:rsidRPr="006314C9">
        <w:rPr>
          <w:rFonts w:cs="Times New Roman"/>
          <w:lang w:val="en-GB" w:eastAsia="it-IT"/>
        </w:rPr>
        <w:t xml:space="preserve">still </w:t>
      </w:r>
      <w:proofErr w:type="spellStart"/>
      <w:r w:rsidR="00A32491" w:rsidRPr="006314C9">
        <w:rPr>
          <w:rFonts w:cs="Times New Roman"/>
          <w:lang w:val="en-GB" w:eastAsia="it-IT"/>
        </w:rPr>
        <w:t>need</w:t>
      </w:r>
      <w:r w:rsidR="00B03C48" w:rsidRPr="006314C9">
        <w:rPr>
          <w:rFonts w:cs="Times New Roman"/>
          <w:lang w:val="en-GB" w:eastAsia="it-IT"/>
        </w:rPr>
        <w:t>edconsidering</w:t>
      </w:r>
      <w:proofErr w:type="spellEnd"/>
      <w:r w:rsidR="00B03C48" w:rsidRPr="006314C9">
        <w:rPr>
          <w:rFonts w:cs="Times New Roman"/>
          <w:lang w:val="en-GB" w:eastAsia="it-IT"/>
        </w:rPr>
        <w:t xml:space="preserve"> the</w:t>
      </w:r>
      <w:r w:rsidR="00A32491" w:rsidRPr="006314C9">
        <w:rPr>
          <w:rFonts w:cs="Times New Roman"/>
          <w:lang w:val="en-GB" w:eastAsia="it-IT"/>
        </w:rPr>
        <w:t xml:space="preserve"> decision SIEFW to be moved under the </w:t>
      </w:r>
      <w:r w:rsidR="00B03C48" w:rsidRPr="006314C9">
        <w:rPr>
          <w:rFonts w:cs="Times New Roman"/>
          <w:lang w:val="en-GB" w:eastAsia="it-IT"/>
        </w:rPr>
        <w:t>NEA</w:t>
      </w:r>
      <w:r w:rsidR="00A32491" w:rsidRPr="006314C9">
        <w:rPr>
          <w:rFonts w:cs="Times New Roman"/>
          <w:lang w:val="en-GB" w:eastAsia="it-IT"/>
        </w:rPr>
        <w:t xml:space="preserve"> and part of the competencies, in particular related to environmental crime, to be shared with the State Inspectorate</w:t>
      </w:r>
      <w:r w:rsidRPr="006314C9">
        <w:rPr>
          <w:rFonts w:cs="Times New Roman"/>
          <w:lang w:val="en-GB" w:eastAsia="it-IT"/>
        </w:rPr>
        <w:t>;</w:t>
      </w:r>
    </w:p>
    <w:p w:rsidR="00521A8F" w:rsidRPr="006314C9" w:rsidRDefault="00521A8F" w:rsidP="00152F5E">
      <w:pPr>
        <w:pStyle w:val="ListParagraph"/>
        <w:numPr>
          <w:ilvl w:val="0"/>
          <w:numId w:val="6"/>
        </w:numPr>
        <w:rPr>
          <w:rFonts w:cs="Times New Roman"/>
          <w:lang w:val="en-GB" w:eastAsia="it-IT"/>
        </w:rPr>
      </w:pPr>
      <w:r w:rsidRPr="006314C9">
        <w:rPr>
          <w:rFonts w:cs="Times New Roman"/>
          <w:i/>
          <w:lang w:val="en-GB" w:eastAsia="it-IT"/>
        </w:rPr>
        <w:t>INSPIRE Directive</w:t>
      </w:r>
      <w:r w:rsidRPr="006314C9">
        <w:rPr>
          <w:rFonts w:cs="Times New Roman"/>
          <w:lang w:val="en-GB" w:eastAsia="it-IT"/>
        </w:rPr>
        <w:t xml:space="preserve"> is at an initial level of implementation</w:t>
      </w:r>
      <w:r w:rsidR="00A32491" w:rsidRPr="006314C9">
        <w:rPr>
          <w:rFonts w:cs="Times New Roman"/>
          <w:lang w:val="en-GB" w:eastAsia="it-IT"/>
        </w:rPr>
        <w:t>, thus support is needed in particular for establishment of interoperability tools of the collected data</w:t>
      </w:r>
      <w:r w:rsidRPr="006314C9">
        <w:rPr>
          <w:rFonts w:cs="Times New Roman"/>
          <w:lang w:val="en-GB" w:eastAsia="it-IT"/>
        </w:rPr>
        <w:t>;</w:t>
      </w:r>
    </w:p>
    <w:p w:rsidR="00A32491" w:rsidRPr="006314C9" w:rsidRDefault="00521A8F" w:rsidP="00152F5E">
      <w:pPr>
        <w:pStyle w:val="ListParagraph"/>
        <w:numPr>
          <w:ilvl w:val="0"/>
          <w:numId w:val="6"/>
        </w:numPr>
        <w:rPr>
          <w:rFonts w:cs="Times New Roman"/>
          <w:lang w:val="en-GB" w:eastAsia="it-IT"/>
        </w:rPr>
      </w:pPr>
      <w:r w:rsidRPr="006314C9">
        <w:rPr>
          <w:rFonts w:cs="Times New Roman"/>
          <w:i/>
          <w:lang w:val="en-GB" w:eastAsia="it-IT"/>
        </w:rPr>
        <w:t xml:space="preserve">Environmental Liability </w:t>
      </w:r>
      <w:proofErr w:type="spellStart"/>
      <w:r w:rsidRPr="006314C9">
        <w:rPr>
          <w:rFonts w:cs="Times New Roman"/>
          <w:i/>
          <w:lang w:val="en-GB" w:eastAsia="it-IT"/>
        </w:rPr>
        <w:t>Directive</w:t>
      </w:r>
      <w:r w:rsidR="00A32491" w:rsidRPr="006314C9">
        <w:rPr>
          <w:rFonts w:cs="Times New Roman"/>
          <w:lang w:val="en-GB" w:eastAsia="it-IT"/>
        </w:rPr>
        <w:t>has</w:t>
      </w:r>
      <w:proofErr w:type="spellEnd"/>
      <w:r w:rsidR="00A32491" w:rsidRPr="006314C9">
        <w:rPr>
          <w:rFonts w:cs="Times New Roman"/>
          <w:lang w:val="en-GB" w:eastAsia="it-IT"/>
        </w:rPr>
        <w:t xml:space="preserve"> not started being implemented yet.</w:t>
      </w:r>
    </w:p>
    <w:p w:rsidR="00521A8F" w:rsidRPr="006314C9" w:rsidRDefault="00A32491" w:rsidP="00152F5E">
      <w:pPr>
        <w:pStyle w:val="ListParagraph"/>
        <w:numPr>
          <w:ilvl w:val="0"/>
          <w:numId w:val="6"/>
        </w:numPr>
        <w:rPr>
          <w:rFonts w:cs="Times New Roman"/>
          <w:lang w:val="en-GB" w:eastAsia="it-IT"/>
        </w:rPr>
      </w:pPr>
      <w:proofErr w:type="spellStart"/>
      <w:r w:rsidRPr="006314C9">
        <w:rPr>
          <w:rFonts w:cs="Times New Roman"/>
          <w:lang w:val="en-GB" w:eastAsia="it-IT"/>
        </w:rPr>
        <w:t>For</w:t>
      </w:r>
      <w:r w:rsidR="00521A8F" w:rsidRPr="006314C9">
        <w:rPr>
          <w:rFonts w:cs="Times New Roman"/>
          <w:i/>
          <w:lang w:val="en-GB" w:eastAsia="it-IT"/>
        </w:rPr>
        <w:t>Environmental</w:t>
      </w:r>
      <w:proofErr w:type="spellEnd"/>
      <w:r w:rsidR="00521A8F" w:rsidRPr="006314C9">
        <w:rPr>
          <w:rFonts w:cs="Times New Roman"/>
          <w:i/>
          <w:lang w:val="en-GB" w:eastAsia="it-IT"/>
        </w:rPr>
        <w:t xml:space="preserve"> Crime </w:t>
      </w:r>
      <w:proofErr w:type="spellStart"/>
      <w:r w:rsidR="00521A8F" w:rsidRPr="006314C9">
        <w:rPr>
          <w:rFonts w:cs="Times New Roman"/>
          <w:i/>
          <w:lang w:val="en-GB" w:eastAsia="it-IT"/>
        </w:rPr>
        <w:t>Directive</w:t>
      </w:r>
      <w:r w:rsidRPr="006314C9">
        <w:rPr>
          <w:rFonts w:cs="Times New Roman"/>
          <w:lang w:val="en-GB" w:eastAsia="it-IT"/>
        </w:rPr>
        <w:t>some</w:t>
      </w:r>
      <w:proofErr w:type="spellEnd"/>
      <w:r w:rsidRPr="006314C9">
        <w:rPr>
          <w:rFonts w:cs="Times New Roman"/>
          <w:lang w:val="en-GB" w:eastAsia="it-IT"/>
        </w:rPr>
        <w:t xml:space="preserve"> efforts have been made to support the inspection and judiciary which was little reflected in practice. Support is needed in rising knowledge and awareness of relevant stakeholders for environmental crime</w:t>
      </w:r>
      <w:r w:rsidR="00B03C48" w:rsidRPr="006314C9">
        <w:rPr>
          <w:rFonts w:cs="Times New Roman"/>
          <w:lang w:val="en-GB" w:eastAsia="it-IT"/>
        </w:rPr>
        <w:t>, in particular for judiciary authorities (judges and prosecutors)</w:t>
      </w:r>
      <w:r w:rsidRPr="006314C9">
        <w:rPr>
          <w:rFonts w:cs="Times New Roman"/>
          <w:lang w:val="en-GB" w:eastAsia="it-IT"/>
        </w:rPr>
        <w:t xml:space="preserve">. </w:t>
      </w:r>
    </w:p>
    <w:p w:rsidR="00521A8F" w:rsidRPr="006314C9" w:rsidRDefault="00521A8F" w:rsidP="00152F5E">
      <w:pPr>
        <w:rPr>
          <w:rFonts w:cs="Times New Roman"/>
          <w:lang w:val="en-GB"/>
        </w:rPr>
      </w:pPr>
      <w:r w:rsidRPr="006314C9">
        <w:rPr>
          <w:rFonts w:cs="Times New Roman"/>
          <w:lang w:val="en-GB" w:eastAsia="it-IT"/>
        </w:rPr>
        <w:t>T</w:t>
      </w:r>
      <w:r w:rsidRPr="006314C9">
        <w:rPr>
          <w:rFonts w:cs="Times New Roman"/>
          <w:lang w:val="en-GB"/>
        </w:rPr>
        <w:t xml:space="preserve">he 2019 EC Progress Report emphasised that “Further progress is needed to achieve full compliance with the remaining cross-cutting aspects of the directives on environmental liability, environmental crime and environmental inspection. The lack of a secondary legal framework is hampering the establishment of an adequate process and assessment of environmental liability for damage to the environment”. </w:t>
      </w:r>
    </w:p>
    <w:p w:rsidR="00521A8F" w:rsidRPr="006314C9" w:rsidRDefault="00521A8F" w:rsidP="00152F5E">
      <w:pPr>
        <w:rPr>
          <w:rFonts w:cs="Times New Roman"/>
          <w:lang w:val="en-GB"/>
        </w:rPr>
      </w:pPr>
      <w:r w:rsidRPr="006314C9">
        <w:rPr>
          <w:rFonts w:cs="Times New Roman"/>
          <w:b/>
          <w:lang w:val="en-GB"/>
        </w:rPr>
        <w:t>Administrative capacity</w:t>
      </w:r>
    </w:p>
    <w:p w:rsidR="00521A8F" w:rsidRPr="006314C9" w:rsidRDefault="00521A8F" w:rsidP="00152F5E">
      <w:pPr>
        <w:rPr>
          <w:rFonts w:cs="Times New Roman"/>
          <w:lang w:val="en-GB"/>
        </w:rPr>
      </w:pPr>
      <w:r w:rsidRPr="006314C9">
        <w:rPr>
          <w:rFonts w:cs="Times New Roman"/>
          <w:lang w:val="en-GB"/>
        </w:rPr>
        <w:t>The main Competent Authority (CA) for the Horizontal Legislation sub-</w:t>
      </w:r>
      <w:r w:rsidR="00B03C48" w:rsidRPr="006314C9">
        <w:rPr>
          <w:rFonts w:cs="Times New Roman"/>
          <w:lang w:val="en-GB"/>
        </w:rPr>
        <w:t xml:space="preserve">chapter </w:t>
      </w:r>
      <w:r w:rsidRPr="006314C9">
        <w:rPr>
          <w:rFonts w:cs="Times New Roman"/>
          <w:lang w:val="en-GB"/>
        </w:rPr>
        <w:t>is the Ministry of Tourism and Environment (MTE). Other CA</w:t>
      </w:r>
      <w:r w:rsidR="00534F73" w:rsidRPr="006314C9">
        <w:rPr>
          <w:rFonts w:cs="Times New Roman"/>
          <w:lang w:val="en-GB"/>
        </w:rPr>
        <w:t>s</w:t>
      </w:r>
      <w:r w:rsidRPr="006314C9">
        <w:rPr>
          <w:rFonts w:cs="Times New Roman"/>
          <w:lang w:val="en-GB"/>
        </w:rPr>
        <w:t xml:space="preserve"> </w:t>
      </w:r>
      <w:proofErr w:type="gramStart"/>
      <w:r w:rsidRPr="006314C9">
        <w:rPr>
          <w:rFonts w:cs="Times New Roman"/>
          <w:lang w:val="en-GB"/>
        </w:rPr>
        <w:t>are</w:t>
      </w:r>
      <w:proofErr w:type="gramEnd"/>
      <w:r w:rsidRPr="006314C9">
        <w:rPr>
          <w:rFonts w:cs="Times New Roman"/>
          <w:lang w:val="en-GB"/>
        </w:rPr>
        <w:t>: National Environment Agency (NEA), the State Inspectorate for Environment, Forests, Water and Tourism (SIEFWT), National Agency for Protected Areas (NAPA), Water Resources Management Agency (WRMA), and State Authority for Geo-spatial Information (SAGI).</w:t>
      </w:r>
    </w:p>
    <w:p w:rsidR="00521A8F" w:rsidRPr="006314C9" w:rsidRDefault="00521A8F" w:rsidP="00152F5E">
      <w:pPr>
        <w:rPr>
          <w:rFonts w:cs="Times New Roman"/>
          <w:lang w:val="en-GB"/>
        </w:rPr>
      </w:pPr>
      <w:r w:rsidRPr="006314C9">
        <w:rPr>
          <w:rFonts w:cs="Times New Roman"/>
          <w:lang w:val="en-GB"/>
        </w:rPr>
        <w:t xml:space="preserve">Both the number and capability/ </w:t>
      </w:r>
      <w:r w:rsidR="00B03C48" w:rsidRPr="006314C9">
        <w:rPr>
          <w:rFonts w:cs="Times New Roman"/>
          <w:lang w:val="en-GB"/>
        </w:rPr>
        <w:t xml:space="preserve">capacity </w:t>
      </w:r>
      <w:r w:rsidRPr="006314C9">
        <w:rPr>
          <w:rFonts w:cs="Times New Roman"/>
          <w:lang w:val="en-GB"/>
        </w:rPr>
        <w:t xml:space="preserve">of the staff engaged in the implementation of the acts under this sub-chapter </w:t>
      </w:r>
      <w:r w:rsidR="00F94B6F" w:rsidRPr="006314C9">
        <w:rPr>
          <w:rFonts w:cs="Times New Roman"/>
          <w:lang w:val="en-GB"/>
        </w:rPr>
        <w:t xml:space="preserve">is not sufficient and thus hamper the implementation and </w:t>
      </w:r>
      <w:r w:rsidRPr="006314C9">
        <w:rPr>
          <w:rFonts w:cs="Times New Roman"/>
          <w:lang w:val="en-GB"/>
        </w:rPr>
        <w:t xml:space="preserve">need to be increased. </w:t>
      </w:r>
      <w:r w:rsidR="00F94B6F" w:rsidRPr="006314C9">
        <w:rPr>
          <w:rFonts w:cs="Times New Roman"/>
          <w:lang w:val="en-GB"/>
        </w:rPr>
        <w:t xml:space="preserve">This is </w:t>
      </w:r>
      <w:proofErr w:type="spellStart"/>
      <w:r w:rsidR="00F94B6F" w:rsidRPr="006314C9">
        <w:rPr>
          <w:rFonts w:cs="Times New Roman"/>
          <w:lang w:val="en-GB"/>
        </w:rPr>
        <w:t>inline</w:t>
      </w:r>
      <w:proofErr w:type="spellEnd"/>
      <w:r w:rsidR="00F94B6F" w:rsidRPr="006314C9">
        <w:rPr>
          <w:rFonts w:cs="Times New Roman"/>
          <w:lang w:val="en-GB"/>
        </w:rPr>
        <w:t xml:space="preserve"> with </w:t>
      </w:r>
      <w:r w:rsidRPr="006314C9">
        <w:rPr>
          <w:rFonts w:cs="Times New Roman"/>
          <w:lang w:val="en-GB"/>
        </w:rPr>
        <w:t xml:space="preserve">the 2019 EC Progress Report emphasised that “considerable strengthening of administrative capacity, allocation of the necessary financial resources are needed”. </w:t>
      </w:r>
    </w:p>
    <w:p w:rsidR="00521A8F" w:rsidRPr="006314C9" w:rsidRDefault="00521A8F" w:rsidP="00152F5E">
      <w:pPr>
        <w:rPr>
          <w:rFonts w:cs="Times New Roman"/>
          <w:lang w:val="en-GB"/>
        </w:rPr>
      </w:pPr>
      <w:r w:rsidRPr="006314C9">
        <w:rPr>
          <w:rFonts w:cs="Times New Roman"/>
          <w:lang w:val="en-GB"/>
        </w:rPr>
        <w:t xml:space="preserve">In order to strengthen its capacities for the implementation of EIA and </w:t>
      </w:r>
      <w:r w:rsidR="00F94B6F" w:rsidRPr="006314C9">
        <w:rPr>
          <w:rFonts w:cs="Times New Roman"/>
          <w:lang w:val="en-GB"/>
        </w:rPr>
        <w:t xml:space="preserve">related </w:t>
      </w:r>
      <w:r w:rsidRPr="006314C9">
        <w:rPr>
          <w:rFonts w:cs="Times New Roman"/>
          <w:lang w:val="en-GB"/>
        </w:rPr>
        <w:t>Environmental Permitting legislation NEA needs to be re-</w:t>
      </w:r>
      <w:r w:rsidR="00B03C48" w:rsidRPr="006314C9">
        <w:rPr>
          <w:rFonts w:cs="Times New Roman"/>
          <w:lang w:val="en-GB"/>
        </w:rPr>
        <w:t>organized</w:t>
      </w:r>
      <w:r w:rsidR="00F647CE" w:rsidRPr="006314C9">
        <w:rPr>
          <w:rFonts w:cs="Times New Roman"/>
          <w:lang w:val="en-GB"/>
        </w:rPr>
        <w:t xml:space="preserve"> and provide better coordination among responsible units or even </w:t>
      </w:r>
      <w:r w:rsidR="00F94B6F" w:rsidRPr="006314C9">
        <w:rPr>
          <w:rFonts w:cs="Times New Roman"/>
          <w:lang w:val="en-GB"/>
        </w:rPr>
        <w:t xml:space="preserve">bring some permitting functions </w:t>
      </w:r>
      <w:r w:rsidRPr="006314C9">
        <w:rPr>
          <w:rFonts w:cs="Times New Roman"/>
          <w:lang w:val="en-GB"/>
        </w:rPr>
        <w:t xml:space="preserve">under the same heading. Division of work done per groups of </w:t>
      </w:r>
      <w:proofErr w:type="spellStart"/>
      <w:r w:rsidRPr="006314C9">
        <w:rPr>
          <w:rFonts w:cs="Times New Roman"/>
          <w:lang w:val="en-GB"/>
        </w:rPr>
        <w:t>industries</w:t>
      </w:r>
      <w:r w:rsidR="00534F73" w:rsidRPr="006314C9">
        <w:rPr>
          <w:rFonts w:cs="Times New Roman"/>
          <w:lang w:val="en-GB"/>
        </w:rPr>
        <w:t>and</w:t>
      </w:r>
      <w:proofErr w:type="spellEnd"/>
      <w:r w:rsidR="00534F73" w:rsidRPr="006314C9">
        <w:rPr>
          <w:rFonts w:cs="Times New Roman"/>
          <w:lang w:val="en-GB"/>
        </w:rPr>
        <w:t xml:space="preserve"> staff specialization </w:t>
      </w:r>
      <w:r w:rsidR="00F647CE" w:rsidRPr="006314C9">
        <w:rPr>
          <w:rFonts w:cs="Times New Roman"/>
          <w:lang w:val="en-GB"/>
        </w:rPr>
        <w:t xml:space="preserve">could </w:t>
      </w:r>
      <w:proofErr w:type="gramStart"/>
      <w:r w:rsidR="00F647CE" w:rsidRPr="006314C9">
        <w:rPr>
          <w:rFonts w:cs="Times New Roman"/>
          <w:lang w:val="en-GB"/>
        </w:rPr>
        <w:t>ris</w:t>
      </w:r>
      <w:r w:rsidR="00534F73" w:rsidRPr="006314C9">
        <w:rPr>
          <w:rFonts w:cs="Times New Roman"/>
          <w:lang w:val="en-GB"/>
        </w:rPr>
        <w:t>e</w:t>
      </w:r>
      <w:proofErr w:type="gramEnd"/>
      <w:r w:rsidR="00534F73" w:rsidRPr="006314C9">
        <w:rPr>
          <w:rFonts w:cs="Times New Roman"/>
          <w:lang w:val="en-GB"/>
        </w:rPr>
        <w:t xml:space="preserve"> </w:t>
      </w:r>
      <w:r w:rsidR="00F647CE" w:rsidRPr="006314C9">
        <w:rPr>
          <w:rFonts w:cs="Times New Roman"/>
          <w:lang w:val="en-GB"/>
        </w:rPr>
        <w:t xml:space="preserve">the expertise </w:t>
      </w:r>
      <w:r w:rsidR="00534F73" w:rsidRPr="006314C9">
        <w:rPr>
          <w:rFonts w:cs="Times New Roman"/>
          <w:lang w:val="en-GB"/>
        </w:rPr>
        <w:t xml:space="preserve">and </w:t>
      </w:r>
      <w:r w:rsidRPr="006314C9">
        <w:rPr>
          <w:rFonts w:cs="Times New Roman"/>
          <w:lang w:val="en-GB"/>
        </w:rPr>
        <w:t xml:space="preserve">improve quality of EIA reviews/ Environmental Declarations and Environmental Permits. Such specialization per groups of industries </w:t>
      </w:r>
      <w:r w:rsidR="00F647CE" w:rsidRPr="006314C9">
        <w:rPr>
          <w:rFonts w:cs="Times New Roman"/>
          <w:lang w:val="en-GB"/>
        </w:rPr>
        <w:t xml:space="preserve">could </w:t>
      </w:r>
      <w:r w:rsidRPr="006314C9">
        <w:rPr>
          <w:rFonts w:cs="Times New Roman"/>
          <w:lang w:val="en-GB"/>
        </w:rPr>
        <w:t>be aimed for the</w:t>
      </w:r>
      <w:r w:rsidR="009F33D1" w:rsidRPr="006314C9">
        <w:rPr>
          <w:rFonts w:cs="Times New Roman"/>
          <w:lang w:val="en-GB"/>
        </w:rPr>
        <w:t xml:space="preserve"> environmental inspectors thus i</w:t>
      </w:r>
      <w:r w:rsidRPr="006314C9">
        <w:rPr>
          <w:rFonts w:cs="Times New Roman"/>
          <w:lang w:val="en-GB"/>
        </w:rPr>
        <w:t xml:space="preserve">nspections’ and reporting quality would improve. </w:t>
      </w:r>
    </w:p>
    <w:p w:rsidR="00521A8F" w:rsidRPr="006314C9" w:rsidRDefault="00521A8F" w:rsidP="00152F5E">
      <w:pPr>
        <w:rPr>
          <w:rFonts w:cs="Times New Roman"/>
          <w:lang w:val="en-GB"/>
        </w:rPr>
      </w:pPr>
      <w:r w:rsidRPr="006314C9">
        <w:rPr>
          <w:rFonts w:cs="Times New Roman"/>
          <w:lang w:val="en-GB"/>
        </w:rPr>
        <w:t>NEA, NAPA, SIEFT and WRMA need to: (a) strengthen their capacities in all areas of their work, including the Geo-spatial Information in their own specific fields; (b) provide the spatial information and the metadata that would enable SAGI to comply with the INSPIRE Directive.</w:t>
      </w:r>
    </w:p>
    <w:p w:rsidR="00F94B6F" w:rsidRPr="006314C9" w:rsidRDefault="00521A8F" w:rsidP="00152F5E">
      <w:pPr>
        <w:rPr>
          <w:rFonts w:cs="Times New Roman"/>
          <w:lang w:val="en-GB"/>
        </w:rPr>
      </w:pPr>
      <w:r w:rsidRPr="006314C9">
        <w:rPr>
          <w:rFonts w:cs="Times New Roman"/>
          <w:lang w:val="en-GB"/>
        </w:rPr>
        <w:t>All the CA</w:t>
      </w:r>
      <w:r w:rsidR="00534F73" w:rsidRPr="006314C9">
        <w:rPr>
          <w:rFonts w:cs="Times New Roman"/>
          <w:lang w:val="en-GB"/>
        </w:rPr>
        <w:t>s</w:t>
      </w:r>
      <w:r w:rsidRPr="006314C9">
        <w:rPr>
          <w:rFonts w:cs="Times New Roman"/>
          <w:lang w:val="en-GB"/>
        </w:rPr>
        <w:t xml:space="preserve"> in charge of implementing this sub-chapter </w:t>
      </w:r>
      <w:proofErr w:type="gramStart"/>
      <w:r w:rsidR="00F94B6F" w:rsidRPr="006314C9">
        <w:rPr>
          <w:rFonts w:cs="Times New Roman"/>
          <w:lang w:val="en-GB"/>
        </w:rPr>
        <w:t>do</w:t>
      </w:r>
      <w:proofErr w:type="gramEnd"/>
      <w:r w:rsidR="00F94B6F" w:rsidRPr="006314C9">
        <w:rPr>
          <w:rFonts w:cs="Times New Roman"/>
          <w:lang w:val="en-GB"/>
        </w:rPr>
        <w:t xml:space="preserve"> not have sufficient tools and equipment to implement the legislation. </w:t>
      </w:r>
      <w:proofErr w:type="spellStart"/>
      <w:proofErr w:type="gramStart"/>
      <w:r w:rsidR="00F94B6F" w:rsidRPr="006314C9">
        <w:rPr>
          <w:rFonts w:cs="Times New Roman"/>
          <w:lang w:val="en-GB"/>
        </w:rPr>
        <w:t>CA</w:t>
      </w:r>
      <w:r w:rsidR="00534F73" w:rsidRPr="006314C9">
        <w:rPr>
          <w:rFonts w:cs="Times New Roman"/>
          <w:lang w:val="en-GB"/>
        </w:rPr>
        <w:t>s</w:t>
      </w:r>
      <w:r w:rsidRPr="006314C9">
        <w:rPr>
          <w:rFonts w:cs="Times New Roman"/>
          <w:lang w:val="en-GB"/>
        </w:rPr>
        <w:t>need</w:t>
      </w:r>
      <w:proofErr w:type="spellEnd"/>
      <w:r w:rsidRPr="006314C9">
        <w:rPr>
          <w:rFonts w:cs="Times New Roman"/>
          <w:lang w:val="en-GB"/>
        </w:rPr>
        <w:t xml:space="preserve"> more </w:t>
      </w:r>
      <w:r w:rsidR="00F94B6F" w:rsidRPr="006314C9">
        <w:rPr>
          <w:rFonts w:cs="Times New Roman"/>
          <w:lang w:val="en-GB"/>
        </w:rPr>
        <w:t xml:space="preserve">IT and other </w:t>
      </w:r>
      <w:r w:rsidRPr="006314C9">
        <w:rPr>
          <w:rFonts w:cs="Times New Roman"/>
          <w:lang w:val="en-GB"/>
        </w:rPr>
        <w:t>equipment, technology, vehicles, etc. and budget to comply with the requirements of the Horizontal Legislation sub-chapter</w:t>
      </w:r>
      <w:r w:rsidR="00F94B6F" w:rsidRPr="006314C9">
        <w:rPr>
          <w:rFonts w:cs="Times New Roman"/>
          <w:lang w:val="en-GB"/>
        </w:rPr>
        <w:t>.</w:t>
      </w:r>
      <w:proofErr w:type="gramEnd"/>
      <w:r w:rsidR="00F94B6F" w:rsidRPr="006314C9">
        <w:rPr>
          <w:rFonts w:cs="Times New Roman"/>
          <w:lang w:val="en-GB"/>
        </w:rPr>
        <w:t xml:space="preserve"> In addition more efficient use of</w:t>
      </w:r>
      <w:r w:rsidRPr="006314C9">
        <w:rPr>
          <w:rFonts w:cs="Times New Roman"/>
          <w:lang w:val="en-GB"/>
        </w:rPr>
        <w:t xml:space="preserve"> their current </w:t>
      </w:r>
      <w:proofErr w:type="spellStart"/>
      <w:r w:rsidR="00534F73" w:rsidRPr="006314C9">
        <w:rPr>
          <w:rFonts w:cs="Times New Roman"/>
          <w:lang w:val="en-GB"/>
        </w:rPr>
        <w:t>equipment</w:t>
      </w:r>
      <w:r w:rsidRPr="006314C9">
        <w:rPr>
          <w:rFonts w:cs="Times New Roman"/>
          <w:lang w:val="en-GB"/>
        </w:rPr>
        <w:t>and</w:t>
      </w:r>
      <w:proofErr w:type="spellEnd"/>
      <w:r w:rsidRPr="006314C9">
        <w:rPr>
          <w:rFonts w:cs="Times New Roman"/>
          <w:lang w:val="en-GB"/>
        </w:rPr>
        <w:t xml:space="preserve"> budget</w:t>
      </w:r>
      <w:r w:rsidR="00F94B6F" w:rsidRPr="006314C9">
        <w:rPr>
          <w:rFonts w:cs="Times New Roman"/>
          <w:lang w:val="en-GB"/>
        </w:rPr>
        <w:t xml:space="preserve"> is important</w:t>
      </w:r>
      <w:r w:rsidRPr="006314C9">
        <w:rPr>
          <w:rFonts w:cs="Times New Roman"/>
          <w:lang w:val="en-GB"/>
        </w:rPr>
        <w:t xml:space="preserve">. </w:t>
      </w:r>
    </w:p>
    <w:p w:rsidR="00521A8F" w:rsidRPr="006314C9" w:rsidRDefault="002F0A16" w:rsidP="00894462">
      <w:pPr>
        <w:rPr>
          <w:b/>
          <w:lang w:val="en-GB"/>
        </w:rPr>
      </w:pPr>
      <w:r w:rsidRPr="006314C9">
        <w:rPr>
          <w:b/>
          <w:lang w:val="en-GB"/>
        </w:rPr>
        <w:t xml:space="preserve">Summary </w:t>
      </w:r>
    </w:p>
    <w:tbl>
      <w:tblPr>
        <w:tblStyle w:val="TableGrid"/>
        <w:tblW w:w="5000" w:type="pct"/>
        <w:tblLook w:val="04A0"/>
      </w:tblPr>
      <w:tblGrid>
        <w:gridCol w:w="2393"/>
        <w:gridCol w:w="2395"/>
        <w:gridCol w:w="2393"/>
        <w:gridCol w:w="2395"/>
      </w:tblGrid>
      <w:tr w:rsidR="00521A8F" w:rsidRPr="006314C9" w:rsidTr="008E39DA">
        <w:trPr>
          <w:trHeight w:val="188"/>
        </w:trPr>
        <w:tc>
          <w:tcPr>
            <w:tcW w:w="2393" w:type="dxa"/>
          </w:tcPr>
          <w:p w:rsidR="00521A8F" w:rsidRPr="006314C9" w:rsidRDefault="00521A8F" w:rsidP="00152F5E">
            <w:pPr>
              <w:spacing w:before="60" w:after="60"/>
              <w:contextualSpacing/>
              <w:jc w:val="center"/>
              <w:rPr>
                <w:rFonts w:cs="Times New Roman"/>
                <w:b/>
                <w:sz w:val="20"/>
                <w:szCs w:val="20"/>
                <w:lang w:val="en-GB"/>
              </w:rPr>
            </w:pPr>
            <w:r w:rsidRPr="006314C9">
              <w:rPr>
                <w:rFonts w:cs="Times New Roman"/>
                <w:b/>
                <w:sz w:val="20"/>
                <w:szCs w:val="20"/>
                <w:lang w:val="en-GB"/>
              </w:rPr>
              <w:t>Directive/regulation</w:t>
            </w:r>
          </w:p>
        </w:tc>
        <w:tc>
          <w:tcPr>
            <w:tcW w:w="2395" w:type="dxa"/>
          </w:tcPr>
          <w:p w:rsidR="00521A8F" w:rsidRPr="006314C9" w:rsidRDefault="00521A8F" w:rsidP="00152F5E">
            <w:pPr>
              <w:spacing w:before="60" w:after="60"/>
              <w:contextualSpacing/>
              <w:jc w:val="center"/>
              <w:rPr>
                <w:rFonts w:cs="Times New Roman"/>
                <w:b/>
                <w:sz w:val="20"/>
                <w:szCs w:val="20"/>
                <w:lang w:val="en-GB"/>
              </w:rPr>
            </w:pPr>
            <w:r w:rsidRPr="006314C9">
              <w:rPr>
                <w:rFonts w:cs="Times New Roman"/>
                <w:b/>
                <w:sz w:val="20"/>
                <w:szCs w:val="20"/>
                <w:lang w:val="en-GB"/>
              </w:rPr>
              <w:t>Main competent authority</w:t>
            </w:r>
          </w:p>
        </w:tc>
        <w:tc>
          <w:tcPr>
            <w:tcW w:w="2393" w:type="dxa"/>
          </w:tcPr>
          <w:p w:rsidR="00521A8F" w:rsidRPr="006314C9" w:rsidRDefault="00521A8F" w:rsidP="00152F5E">
            <w:pPr>
              <w:spacing w:before="60" w:after="60"/>
              <w:contextualSpacing/>
              <w:jc w:val="center"/>
              <w:rPr>
                <w:rFonts w:cs="Times New Roman"/>
                <w:b/>
                <w:sz w:val="20"/>
                <w:szCs w:val="20"/>
                <w:lang w:val="en-GB"/>
              </w:rPr>
            </w:pPr>
            <w:r w:rsidRPr="006314C9">
              <w:rPr>
                <w:rFonts w:cs="Times New Roman"/>
                <w:b/>
                <w:sz w:val="20"/>
                <w:szCs w:val="20"/>
                <w:lang w:val="en-GB"/>
              </w:rPr>
              <w:t>Level of transposition</w:t>
            </w:r>
          </w:p>
        </w:tc>
        <w:tc>
          <w:tcPr>
            <w:tcW w:w="2395" w:type="dxa"/>
          </w:tcPr>
          <w:p w:rsidR="00521A8F" w:rsidRPr="006314C9" w:rsidRDefault="00521A8F" w:rsidP="00152F5E">
            <w:pPr>
              <w:spacing w:before="60" w:after="60"/>
              <w:contextualSpacing/>
              <w:jc w:val="center"/>
              <w:rPr>
                <w:rFonts w:cs="Times New Roman"/>
                <w:b/>
                <w:sz w:val="20"/>
                <w:szCs w:val="20"/>
                <w:lang w:val="en-GB"/>
              </w:rPr>
            </w:pPr>
            <w:r w:rsidRPr="006314C9">
              <w:rPr>
                <w:rFonts w:cs="Times New Roman"/>
                <w:b/>
                <w:sz w:val="20"/>
                <w:szCs w:val="20"/>
                <w:lang w:val="en-GB"/>
              </w:rPr>
              <w:t>Level of implementation</w:t>
            </w:r>
          </w:p>
        </w:tc>
      </w:tr>
      <w:tr w:rsidR="00521A8F" w:rsidRPr="006314C9" w:rsidTr="008E39DA">
        <w:trPr>
          <w:trHeight w:val="983"/>
        </w:trPr>
        <w:tc>
          <w:tcPr>
            <w:tcW w:w="2393" w:type="dxa"/>
          </w:tcPr>
          <w:p w:rsidR="00521A8F" w:rsidRPr="006314C9" w:rsidRDefault="00521A8F" w:rsidP="00B27FEA">
            <w:pPr>
              <w:spacing w:before="60" w:after="60"/>
              <w:contextualSpacing/>
              <w:rPr>
                <w:rFonts w:cs="Times New Roman"/>
                <w:sz w:val="20"/>
                <w:szCs w:val="20"/>
                <w:lang w:val="en-GB"/>
              </w:rPr>
            </w:pPr>
            <w:r w:rsidRPr="006314C9">
              <w:rPr>
                <w:rFonts w:cs="Times New Roman"/>
                <w:sz w:val="20"/>
                <w:szCs w:val="20"/>
                <w:lang w:val="en-GB"/>
              </w:rPr>
              <w:lastRenderedPageBreak/>
              <w:t>2011/92/EU</w:t>
            </w:r>
          </w:p>
          <w:p w:rsidR="00521A8F" w:rsidRPr="006314C9" w:rsidRDefault="00521A8F" w:rsidP="007B0BC7">
            <w:pPr>
              <w:spacing w:before="60" w:after="60"/>
              <w:contextualSpacing/>
              <w:rPr>
                <w:rFonts w:cs="Times New Roman"/>
                <w:sz w:val="20"/>
                <w:szCs w:val="20"/>
                <w:lang w:val="en-GB"/>
              </w:rPr>
            </w:pPr>
            <w:r w:rsidRPr="006314C9">
              <w:rPr>
                <w:rFonts w:cs="Times New Roman"/>
                <w:b/>
                <w:i/>
                <w:sz w:val="20"/>
                <w:szCs w:val="20"/>
                <w:lang w:val="en-GB"/>
              </w:rPr>
              <w:t>EIA</w:t>
            </w:r>
          </w:p>
        </w:tc>
        <w:tc>
          <w:tcPr>
            <w:tcW w:w="2395"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MT</w:t>
            </w:r>
            <w:r w:rsidR="008F5A33" w:rsidRPr="006314C9">
              <w:rPr>
                <w:rFonts w:cs="Times New Roman"/>
                <w:sz w:val="20"/>
                <w:szCs w:val="20"/>
                <w:lang w:val="en-GB"/>
              </w:rPr>
              <w:t>E</w:t>
            </w:r>
          </w:p>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National Environmental Agency (NEA)</w:t>
            </w:r>
          </w:p>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Regional Environmental Directories (RED)</w:t>
            </w:r>
          </w:p>
        </w:tc>
        <w:tc>
          <w:tcPr>
            <w:tcW w:w="2393"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 xml:space="preserve">Advanced; </w:t>
            </w:r>
          </w:p>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82 %</w:t>
            </w:r>
          </w:p>
        </w:tc>
        <w:tc>
          <w:tcPr>
            <w:tcW w:w="2395"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 xml:space="preserve">Advanced  </w:t>
            </w:r>
          </w:p>
        </w:tc>
      </w:tr>
      <w:tr w:rsidR="00521A8F" w:rsidRPr="006314C9" w:rsidTr="008E39DA">
        <w:trPr>
          <w:trHeight w:val="469"/>
        </w:trPr>
        <w:tc>
          <w:tcPr>
            <w:tcW w:w="2393" w:type="dxa"/>
          </w:tcPr>
          <w:p w:rsidR="00521A8F" w:rsidRPr="006314C9" w:rsidRDefault="00521A8F" w:rsidP="00B27FEA">
            <w:pPr>
              <w:spacing w:before="60" w:after="60"/>
              <w:contextualSpacing/>
              <w:rPr>
                <w:rFonts w:cs="Times New Roman"/>
                <w:sz w:val="20"/>
                <w:szCs w:val="20"/>
                <w:lang w:val="en-GB"/>
              </w:rPr>
            </w:pPr>
            <w:r w:rsidRPr="006314C9">
              <w:rPr>
                <w:rFonts w:cs="Times New Roman"/>
                <w:sz w:val="20"/>
                <w:szCs w:val="20"/>
                <w:lang w:val="en-GB"/>
              </w:rPr>
              <w:t>2001/42/EC</w:t>
            </w:r>
          </w:p>
          <w:p w:rsidR="00521A8F" w:rsidRPr="006314C9" w:rsidRDefault="00521A8F" w:rsidP="007B0BC7">
            <w:pPr>
              <w:spacing w:before="60" w:after="60"/>
              <w:contextualSpacing/>
              <w:rPr>
                <w:rFonts w:cs="Times New Roman"/>
                <w:sz w:val="20"/>
                <w:szCs w:val="20"/>
                <w:lang w:val="en-GB"/>
              </w:rPr>
            </w:pPr>
            <w:r w:rsidRPr="006314C9">
              <w:rPr>
                <w:rFonts w:cs="Times New Roman"/>
                <w:b/>
                <w:i/>
                <w:sz w:val="20"/>
                <w:szCs w:val="20"/>
                <w:lang w:val="en-GB"/>
              </w:rPr>
              <w:t>SEA</w:t>
            </w:r>
          </w:p>
        </w:tc>
        <w:tc>
          <w:tcPr>
            <w:tcW w:w="2395"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MTE</w:t>
            </w:r>
          </w:p>
        </w:tc>
        <w:tc>
          <w:tcPr>
            <w:tcW w:w="2393"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Fully transposed</w:t>
            </w:r>
          </w:p>
        </w:tc>
        <w:tc>
          <w:tcPr>
            <w:tcW w:w="2395"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 xml:space="preserve">Advanced </w:t>
            </w:r>
          </w:p>
        </w:tc>
      </w:tr>
      <w:tr w:rsidR="00521A8F" w:rsidRPr="006314C9" w:rsidTr="008E39DA">
        <w:trPr>
          <w:trHeight w:val="639"/>
        </w:trPr>
        <w:tc>
          <w:tcPr>
            <w:tcW w:w="2393" w:type="dxa"/>
          </w:tcPr>
          <w:p w:rsidR="00521A8F" w:rsidRPr="006314C9" w:rsidRDefault="00521A8F" w:rsidP="00B27FEA">
            <w:pPr>
              <w:spacing w:before="60" w:after="60"/>
              <w:contextualSpacing/>
              <w:rPr>
                <w:rFonts w:cs="Times New Roman"/>
                <w:sz w:val="20"/>
                <w:szCs w:val="20"/>
                <w:lang w:val="en-GB"/>
              </w:rPr>
            </w:pPr>
            <w:r w:rsidRPr="006314C9">
              <w:rPr>
                <w:rFonts w:cs="Times New Roman"/>
                <w:sz w:val="20"/>
                <w:szCs w:val="20"/>
                <w:lang w:val="en-GB"/>
              </w:rPr>
              <w:t>2003/4/EC</w:t>
            </w:r>
          </w:p>
          <w:p w:rsidR="00521A8F" w:rsidRPr="006314C9" w:rsidRDefault="00521A8F" w:rsidP="007B0BC7">
            <w:pPr>
              <w:spacing w:before="60" w:after="60"/>
              <w:contextualSpacing/>
              <w:rPr>
                <w:rFonts w:cs="Times New Roman"/>
                <w:sz w:val="20"/>
                <w:szCs w:val="20"/>
                <w:lang w:val="en-GB"/>
              </w:rPr>
            </w:pPr>
            <w:r w:rsidRPr="006314C9">
              <w:rPr>
                <w:rFonts w:cs="Times New Roman"/>
                <w:b/>
                <w:i/>
                <w:sz w:val="20"/>
                <w:szCs w:val="20"/>
                <w:lang w:val="en-GB"/>
              </w:rPr>
              <w:t>Access to information</w:t>
            </w:r>
          </w:p>
        </w:tc>
        <w:tc>
          <w:tcPr>
            <w:tcW w:w="2395"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MTE</w:t>
            </w:r>
          </w:p>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NEA</w:t>
            </w:r>
          </w:p>
        </w:tc>
        <w:tc>
          <w:tcPr>
            <w:tcW w:w="2393"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Fully transposed</w:t>
            </w:r>
          </w:p>
        </w:tc>
        <w:tc>
          <w:tcPr>
            <w:tcW w:w="2395"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Advanced</w:t>
            </w:r>
          </w:p>
        </w:tc>
      </w:tr>
      <w:tr w:rsidR="00521A8F" w:rsidRPr="006314C9" w:rsidTr="008E39DA">
        <w:trPr>
          <w:trHeight w:val="461"/>
        </w:trPr>
        <w:tc>
          <w:tcPr>
            <w:tcW w:w="2393" w:type="dxa"/>
          </w:tcPr>
          <w:p w:rsidR="00521A8F" w:rsidRPr="006314C9" w:rsidRDefault="00521A8F" w:rsidP="00B27FEA">
            <w:pPr>
              <w:spacing w:before="60" w:after="60"/>
              <w:contextualSpacing/>
              <w:rPr>
                <w:rFonts w:cs="Times New Roman"/>
                <w:sz w:val="20"/>
                <w:szCs w:val="20"/>
                <w:lang w:val="en-GB"/>
              </w:rPr>
            </w:pPr>
            <w:r w:rsidRPr="006314C9">
              <w:rPr>
                <w:rFonts w:cs="Times New Roman"/>
                <w:sz w:val="20"/>
                <w:szCs w:val="20"/>
                <w:lang w:val="en-GB"/>
              </w:rPr>
              <w:t>2003/35/EC</w:t>
            </w:r>
          </w:p>
          <w:p w:rsidR="00521A8F" w:rsidRPr="006314C9" w:rsidRDefault="00521A8F" w:rsidP="007B0BC7">
            <w:pPr>
              <w:spacing w:before="60" w:after="60"/>
              <w:contextualSpacing/>
              <w:rPr>
                <w:rFonts w:cs="Times New Roman"/>
                <w:sz w:val="20"/>
                <w:szCs w:val="20"/>
                <w:lang w:val="en-GB"/>
              </w:rPr>
            </w:pPr>
            <w:r w:rsidRPr="006314C9">
              <w:rPr>
                <w:rFonts w:cs="Times New Roman"/>
                <w:b/>
                <w:i/>
                <w:sz w:val="20"/>
                <w:szCs w:val="20"/>
                <w:lang w:val="en-GB"/>
              </w:rPr>
              <w:t>Public Participation</w:t>
            </w:r>
          </w:p>
        </w:tc>
        <w:tc>
          <w:tcPr>
            <w:tcW w:w="2395"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MTE</w:t>
            </w:r>
          </w:p>
        </w:tc>
        <w:tc>
          <w:tcPr>
            <w:tcW w:w="2393"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Fully transposed</w:t>
            </w:r>
          </w:p>
        </w:tc>
        <w:tc>
          <w:tcPr>
            <w:tcW w:w="2395"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Advanced</w:t>
            </w:r>
          </w:p>
        </w:tc>
      </w:tr>
      <w:tr w:rsidR="00521A8F" w:rsidRPr="006314C9" w:rsidTr="008E39DA">
        <w:trPr>
          <w:trHeight w:val="880"/>
        </w:trPr>
        <w:tc>
          <w:tcPr>
            <w:tcW w:w="2393" w:type="dxa"/>
          </w:tcPr>
          <w:p w:rsidR="00521A8F" w:rsidRPr="006314C9" w:rsidRDefault="00521A8F" w:rsidP="00B27FEA">
            <w:pPr>
              <w:spacing w:before="60" w:after="60"/>
              <w:contextualSpacing/>
              <w:rPr>
                <w:rFonts w:cs="Times New Roman"/>
                <w:sz w:val="20"/>
                <w:szCs w:val="20"/>
                <w:lang w:val="en-GB"/>
              </w:rPr>
            </w:pPr>
            <w:r w:rsidRPr="006314C9">
              <w:rPr>
                <w:rFonts w:cs="Times New Roman"/>
                <w:sz w:val="20"/>
                <w:szCs w:val="20"/>
                <w:lang w:val="en-GB"/>
              </w:rPr>
              <w:t>2004/35/EC</w:t>
            </w:r>
          </w:p>
          <w:p w:rsidR="00521A8F" w:rsidRPr="006314C9" w:rsidRDefault="00521A8F" w:rsidP="007B0BC7">
            <w:pPr>
              <w:spacing w:before="60" w:after="60"/>
              <w:contextualSpacing/>
              <w:rPr>
                <w:rFonts w:cs="Times New Roman"/>
                <w:sz w:val="20"/>
                <w:szCs w:val="20"/>
                <w:lang w:val="en-GB"/>
              </w:rPr>
            </w:pPr>
            <w:r w:rsidRPr="006314C9">
              <w:rPr>
                <w:rFonts w:cs="Times New Roman"/>
                <w:b/>
                <w:i/>
                <w:sz w:val="20"/>
                <w:szCs w:val="20"/>
                <w:lang w:val="en-GB"/>
              </w:rPr>
              <w:t xml:space="preserve">Environmental Liability </w:t>
            </w:r>
          </w:p>
        </w:tc>
        <w:tc>
          <w:tcPr>
            <w:tcW w:w="2395"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MTE</w:t>
            </w:r>
          </w:p>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NEA</w:t>
            </w:r>
          </w:p>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Ministry of Finance and Economy(MFE)</w:t>
            </w:r>
          </w:p>
        </w:tc>
        <w:tc>
          <w:tcPr>
            <w:tcW w:w="2393"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 xml:space="preserve">Partially; </w:t>
            </w:r>
          </w:p>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 xml:space="preserve">28% </w:t>
            </w:r>
          </w:p>
        </w:tc>
        <w:tc>
          <w:tcPr>
            <w:tcW w:w="2395" w:type="dxa"/>
          </w:tcPr>
          <w:p w:rsidR="00521A8F" w:rsidRPr="006314C9" w:rsidRDefault="00D62A22" w:rsidP="00152F5E">
            <w:pPr>
              <w:spacing w:before="60" w:after="60"/>
              <w:contextualSpacing/>
              <w:jc w:val="left"/>
              <w:rPr>
                <w:rFonts w:cs="Times New Roman"/>
                <w:sz w:val="20"/>
                <w:szCs w:val="20"/>
                <w:lang w:val="en-GB"/>
              </w:rPr>
            </w:pPr>
            <w:r w:rsidRPr="006314C9">
              <w:rPr>
                <w:rFonts w:eastAsia="Times New Roman" w:cs="Times New Roman"/>
                <w:color w:val="000000"/>
                <w:sz w:val="20"/>
                <w:szCs w:val="20"/>
                <w:lang w:val="en-GB"/>
              </w:rPr>
              <w:t>Not implemented</w:t>
            </w:r>
          </w:p>
        </w:tc>
      </w:tr>
      <w:tr w:rsidR="008E39DA" w:rsidRPr="006314C9" w:rsidTr="008E39DA">
        <w:trPr>
          <w:trHeight w:val="776"/>
        </w:trPr>
        <w:tc>
          <w:tcPr>
            <w:tcW w:w="2393" w:type="dxa"/>
          </w:tcPr>
          <w:p w:rsidR="008E39DA" w:rsidRPr="006314C9" w:rsidRDefault="008E39DA" w:rsidP="008E39DA">
            <w:pPr>
              <w:spacing w:before="60" w:after="60"/>
              <w:contextualSpacing/>
              <w:rPr>
                <w:rFonts w:cs="Times New Roman"/>
                <w:sz w:val="20"/>
                <w:szCs w:val="20"/>
                <w:lang w:val="en-GB"/>
              </w:rPr>
            </w:pPr>
            <w:r w:rsidRPr="006314C9">
              <w:rPr>
                <w:rFonts w:cs="Times New Roman"/>
                <w:sz w:val="20"/>
                <w:szCs w:val="20"/>
                <w:lang w:val="en-GB"/>
              </w:rPr>
              <w:t>2007/2/EC</w:t>
            </w:r>
          </w:p>
          <w:p w:rsidR="008E39DA" w:rsidRPr="006314C9" w:rsidRDefault="008E39DA" w:rsidP="00B27FEA">
            <w:pPr>
              <w:spacing w:before="60" w:after="60"/>
              <w:contextualSpacing/>
              <w:rPr>
                <w:rFonts w:cs="Times New Roman"/>
                <w:sz w:val="20"/>
                <w:szCs w:val="20"/>
                <w:lang w:val="en-GB"/>
              </w:rPr>
            </w:pPr>
            <w:r w:rsidRPr="006314C9">
              <w:rPr>
                <w:rFonts w:cs="Times New Roman"/>
                <w:b/>
                <w:i/>
                <w:sz w:val="20"/>
                <w:szCs w:val="20"/>
                <w:lang w:val="en-GB"/>
              </w:rPr>
              <w:t>INSPIRE</w:t>
            </w:r>
          </w:p>
        </w:tc>
        <w:tc>
          <w:tcPr>
            <w:tcW w:w="2395" w:type="dxa"/>
          </w:tcPr>
          <w:p w:rsidR="008E39DA" w:rsidRPr="006314C9" w:rsidRDefault="008E39DA" w:rsidP="00152F5E">
            <w:pPr>
              <w:spacing w:before="60" w:after="60"/>
              <w:contextualSpacing/>
              <w:jc w:val="left"/>
              <w:rPr>
                <w:rFonts w:cs="Times New Roman"/>
                <w:sz w:val="20"/>
                <w:szCs w:val="20"/>
                <w:lang w:val="en-GB"/>
              </w:rPr>
            </w:pPr>
            <w:r w:rsidRPr="006314C9">
              <w:rPr>
                <w:rFonts w:cs="Times New Roman"/>
                <w:sz w:val="20"/>
                <w:szCs w:val="20"/>
                <w:lang w:val="en-GB"/>
              </w:rPr>
              <w:t>State Authority for Geo-spatial Information (ASIG) and large number of other institutions</w:t>
            </w:r>
          </w:p>
        </w:tc>
        <w:tc>
          <w:tcPr>
            <w:tcW w:w="2393" w:type="dxa"/>
          </w:tcPr>
          <w:p w:rsidR="008E39DA" w:rsidRPr="006314C9" w:rsidRDefault="008E39DA" w:rsidP="008E39DA">
            <w:pPr>
              <w:spacing w:before="60" w:after="60"/>
              <w:contextualSpacing/>
              <w:jc w:val="left"/>
              <w:rPr>
                <w:rFonts w:cs="Times New Roman"/>
                <w:sz w:val="20"/>
                <w:szCs w:val="20"/>
                <w:lang w:val="en-GB"/>
              </w:rPr>
            </w:pPr>
            <w:r w:rsidRPr="006314C9">
              <w:rPr>
                <w:rFonts w:cs="Times New Roman"/>
                <w:sz w:val="20"/>
                <w:szCs w:val="20"/>
                <w:lang w:val="en-GB"/>
              </w:rPr>
              <w:t xml:space="preserve">Advanced; </w:t>
            </w:r>
          </w:p>
          <w:p w:rsidR="008E39DA" w:rsidRPr="006314C9" w:rsidRDefault="008E39DA" w:rsidP="00152F5E">
            <w:pPr>
              <w:spacing w:before="60" w:after="60"/>
              <w:contextualSpacing/>
              <w:jc w:val="left"/>
              <w:rPr>
                <w:rFonts w:cs="Times New Roman"/>
                <w:sz w:val="20"/>
                <w:szCs w:val="20"/>
                <w:lang w:val="en-GB"/>
              </w:rPr>
            </w:pPr>
            <w:r w:rsidRPr="006314C9">
              <w:rPr>
                <w:rFonts w:cs="Times New Roman"/>
                <w:sz w:val="20"/>
                <w:szCs w:val="20"/>
                <w:lang w:val="en-GB"/>
              </w:rPr>
              <w:t>92%</w:t>
            </w:r>
          </w:p>
        </w:tc>
        <w:tc>
          <w:tcPr>
            <w:tcW w:w="2395" w:type="dxa"/>
          </w:tcPr>
          <w:p w:rsidR="00694EE8" w:rsidRPr="006314C9" w:rsidRDefault="008E39DA">
            <w:pPr>
              <w:tabs>
                <w:tab w:val="center" w:pos="1089"/>
              </w:tabs>
              <w:spacing w:before="60" w:after="60"/>
              <w:contextualSpacing/>
              <w:jc w:val="left"/>
              <w:rPr>
                <w:rFonts w:cs="Times New Roman"/>
                <w:sz w:val="20"/>
                <w:szCs w:val="20"/>
                <w:lang w:val="en-GB"/>
              </w:rPr>
            </w:pPr>
            <w:r w:rsidRPr="006314C9">
              <w:rPr>
                <w:rFonts w:cs="Times New Roman"/>
                <w:sz w:val="20"/>
                <w:szCs w:val="20"/>
                <w:lang w:val="en-GB"/>
              </w:rPr>
              <w:t>Initial</w:t>
            </w:r>
            <w:r w:rsidR="00D62A22" w:rsidRPr="006314C9">
              <w:rPr>
                <w:rFonts w:cs="Times New Roman"/>
                <w:sz w:val="20"/>
                <w:szCs w:val="20"/>
                <w:lang w:val="en-GB"/>
              </w:rPr>
              <w:t xml:space="preserve"> stage</w:t>
            </w:r>
            <w:r w:rsidR="00D62A22" w:rsidRPr="006314C9">
              <w:rPr>
                <w:rFonts w:cs="Times New Roman"/>
                <w:sz w:val="20"/>
                <w:szCs w:val="20"/>
                <w:lang w:val="en-GB"/>
              </w:rPr>
              <w:tab/>
            </w:r>
          </w:p>
        </w:tc>
      </w:tr>
      <w:tr w:rsidR="00521A8F" w:rsidRPr="006314C9" w:rsidTr="008E39DA">
        <w:trPr>
          <w:trHeight w:val="776"/>
        </w:trPr>
        <w:tc>
          <w:tcPr>
            <w:tcW w:w="2393" w:type="dxa"/>
          </w:tcPr>
          <w:p w:rsidR="00521A8F" w:rsidRPr="006314C9" w:rsidRDefault="00521A8F" w:rsidP="00B27FEA">
            <w:pPr>
              <w:spacing w:before="60" w:after="60"/>
              <w:contextualSpacing/>
              <w:rPr>
                <w:rFonts w:cs="Times New Roman"/>
                <w:sz w:val="20"/>
                <w:szCs w:val="20"/>
                <w:lang w:val="en-GB"/>
              </w:rPr>
            </w:pPr>
            <w:r w:rsidRPr="006314C9">
              <w:rPr>
                <w:rFonts w:cs="Times New Roman"/>
                <w:sz w:val="20"/>
                <w:szCs w:val="20"/>
                <w:lang w:val="en-GB"/>
              </w:rPr>
              <w:t>2001/331/EC</w:t>
            </w:r>
          </w:p>
          <w:p w:rsidR="00521A8F" w:rsidRPr="006314C9" w:rsidRDefault="00521A8F" w:rsidP="007B0BC7">
            <w:pPr>
              <w:spacing w:before="60" w:after="60"/>
              <w:contextualSpacing/>
              <w:rPr>
                <w:rFonts w:cs="Times New Roman"/>
                <w:sz w:val="20"/>
                <w:szCs w:val="20"/>
                <w:lang w:val="en-GB"/>
              </w:rPr>
            </w:pPr>
            <w:r w:rsidRPr="006314C9">
              <w:rPr>
                <w:rFonts w:cs="Times New Roman"/>
                <w:b/>
                <w:i/>
                <w:sz w:val="20"/>
                <w:szCs w:val="20"/>
                <w:lang w:val="en-GB"/>
              </w:rPr>
              <w:t>RMCEI</w:t>
            </w:r>
          </w:p>
        </w:tc>
        <w:tc>
          <w:tcPr>
            <w:tcW w:w="2395" w:type="dxa"/>
          </w:tcPr>
          <w:p w:rsidR="00521A8F" w:rsidRPr="006314C9" w:rsidRDefault="00521A8F" w:rsidP="00152F5E">
            <w:pPr>
              <w:spacing w:before="60" w:after="60"/>
              <w:contextualSpacing/>
              <w:jc w:val="left"/>
              <w:rPr>
                <w:rFonts w:cs="Times New Roman"/>
                <w:b/>
                <w:sz w:val="20"/>
                <w:szCs w:val="20"/>
                <w:lang w:val="en-GB"/>
              </w:rPr>
            </w:pPr>
            <w:r w:rsidRPr="006314C9">
              <w:rPr>
                <w:rFonts w:cs="Times New Roman"/>
                <w:sz w:val="20"/>
                <w:szCs w:val="20"/>
                <w:lang w:val="en-GB"/>
              </w:rPr>
              <w:t>State Inspectorate of Environment, Forestry, Water and Tourism (SIEFWT)</w:t>
            </w:r>
          </w:p>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MTE</w:t>
            </w:r>
          </w:p>
        </w:tc>
        <w:tc>
          <w:tcPr>
            <w:tcW w:w="2393"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 xml:space="preserve">Partially; </w:t>
            </w:r>
          </w:p>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62%</w:t>
            </w:r>
          </w:p>
        </w:tc>
        <w:tc>
          <w:tcPr>
            <w:tcW w:w="2395"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Partly implemented</w:t>
            </w:r>
          </w:p>
        </w:tc>
      </w:tr>
      <w:tr w:rsidR="00521A8F" w:rsidRPr="006314C9" w:rsidTr="008E39DA">
        <w:trPr>
          <w:trHeight w:val="1379"/>
        </w:trPr>
        <w:tc>
          <w:tcPr>
            <w:tcW w:w="2393" w:type="dxa"/>
          </w:tcPr>
          <w:p w:rsidR="00521A8F" w:rsidRPr="006314C9" w:rsidRDefault="00521A8F" w:rsidP="00B27FEA">
            <w:pPr>
              <w:spacing w:before="60" w:after="60"/>
              <w:contextualSpacing/>
              <w:rPr>
                <w:rFonts w:cs="Times New Roman"/>
                <w:sz w:val="20"/>
                <w:szCs w:val="20"/>
                <w:lang w:val="en-GB"/>
              </w:rPr>
            </w:pPr>
            <w:r w:rsidRPr="006314C9">
              <w:rPr>
                <w:rFonts w:cs="Times New Roman"/>
                <w:sz w:val="20"/>
                <w:szCs w:val="20"/>
                <w:lang w:val="en-GB"/>
              </w:rPr>
              <w:t>2008/99/EC</w:t>
            </w:r>
          </w:p>
          <w:p w:rsidR="00521A8F" w:rsidRPr="006314C9" w:rsidRDefault="00521A8F" w:rsidP="007B0BC7">
            <w:pPr>
              <w:spacing w:before="60" w:after="60"/>
              <w:contextualSpacing/>
              <w:rPr>
                <w:rFonts w:cs="Times New Roman"/>
                <w:sz w:val="20"/>
                <w:szCs w:val="20"/>
                <w:lang w:val="en-GB"/>
              </w:rPr>
            </w:pPr>
            <w:r w:rsidRPr="006314C9">
              <w:rPr>
                <w:rFonts w:cs="Times New Roman"/>
                <w:b/>
                <w:i/>
                <w:sz w:val="20"/>
                <w:szCs w:val="20"/>
                <w:lang w:val="en-GB"/>
              </w:rPr>
              <w:t>Environmental crime</w:t>
            </w:r>
          </w:p>
        </w:tc>
        <w:tc>
          <w:tcPr>
            <w:tcW w:w="2395"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MTE</w:t>
            </w:r>
          </w:p>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SIEFWT</w:t>
            </w:r>
          </w:p>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General Prosecution Office</w:t>
            </w:r>
          </w:p>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Albanian State Police</w:t>
            </w:r>
          </w:p>
        </w:tc>
        <w:tc>
          <w:tcPr>
            <w:tcW w:w="2393" w:type="dxa"/>
          </w:tcPr>
          <w:p w:rsidR="00521A8F" w:rsidRPr="006314C9" w:rsidRDefault="00521A8F" w:rsidP="00152F5E">
            <w:pPr>
              <w:spacing w:before="60" w:after="60"/>
              <w:contextualSpacing/>
              <w:jc w:val="left"/>
              <w:rPr>
                <w:rFonts w:cs="Times New Roman"/>
                <w:sz w:val="20"/>
                <w:szCs w:val="20"/>
                <w:lang w:val="en-GB"/>
              </w:rPr>
            </w:pPr>
            <w:r w:rsidRPr="006314C9">
              <w:rPr>
                <w:rFonts w:cs="Times New Roman"/>
                <w:sz w:val="20"/>
                <w:szCs w:val="20"/>
                <w:lang w:val="en-GB"/>
              </w:rPr>
              <w:t xml:space="preserve">Partially; </w:t>
            </w:r>
          </w:p>
          <w:p w:rsidR="00521A8F" w:rsidRPr="006314C9" w:rsidRDefault="00521A8F" w:rsidP="00D62A22">
            <w:pPr>
              <w:spacing w:before="60" w:after="60"/>
              <w:contextualSpacing/>
              <w:jc w:val="left"/>
              <w:rPr>
                <w:rFonts w:cs="Times New Roman"/>
                <w:sz w:val="20"/>
                <w:szCs w:val="20"/>
                <w:lang w:val="en-GB"/>
              </w:rPr>
            </w:pPr>
            <w:r w:rsidRPr="006314C9">
              <w:rPr>
                <w:rFonts w:cs="Times New Roman"/>
                <w:sz w:val="20"/>
                <w:szCs w:val="20"/>
                <w:lang w:val="en-GB"/>
              </w:rPr>
              <w:t>6</w:t>
            </w:r>
            <w:r w:rsidR="00D62A22" w:rsidRPr="006314C9">
              <w:rPr>
                <w:rFonts w:cs="Times New Roman"/>
                <w:sz w:val="20"/>
                <w:szCs w:val="20"/>
                <w:lang w:val="en-GB"/>
              </w:rPr>
              <w:t xml:space="preserve">5 </w:t>
            </w:r>
            <w:r w:rsidRPr="006314C9">
              <w:rPr>
                <w:rFonts w:cs="Times New Roman"/>
                <w:sz w:val="20"/>
                <w:szCs w:val="20"/>
                <w:lang w:val="en-GB"/>
              </w:rPr>
              <w:t>%</w:t>
            </w:r>
          </w:p>
        </w:tc>
        <w:tc>
          <w:tcPr>
            <w:tcW w:w="2395" w:type="dxa"/>
          </w:tcPr>
          <w:p w:rsidR="00521A8F" w:rsidRPr="006314C9" w:rsidRDefault="0051251F" w:rsidP="00152F5E">
            <w:pPr>
              <w:spacing w:before="60" w:after="60"/>
              <w:contextualSpacing/>
              <w:jc w:val="left"/>
              <w:rPr>
                <w:rFonts w:cs="Times New Roman"/>
                <w:sz w:val="20"/>
                <w:szCs w:val="20"/>
                <w:lang w:val="en-GB"/>
              </w:rPr>
            </w:pPr>
            <w:r w:rsidRPr="006314C9">
              <w:rPr>
                <w:rFonts w:eastAsia="Times New Roman" w:cs="Times New Roman"/>
                <w:color w:val="000000"/>
                <w:sz w:val="20"/>
                <w:szCs w:val="20"/>
                <w:lang w:val="en-GB"/>
              </w:rPr>
              <w:t xml:space="preserve">Not </w:t>
            </w:r>
            <w:r w:rsidR="00D62A22" w:rsidRPr="006314C9">
              <w:rPr>
                <w:rFonts w:eastAsia="Times New Roman" w:cs="Times New Roman"/>
                <w:color w:val="000000"/>
                <w:sz w:val="20"/>
                <w:szCs w:val="20"/>
                <w:lang w:val="en-GB"/>
              </w:rPr>
              <w:t>implemented</w:t>
            </w:r>
          </w:p>
          <w:p w:rsidR="00521A8F" w:rsidRPr="006314C9" w:rsidRDefault="00521A8F" w:rsidP="00152F5E">
            <w:pPr>
              <w:spacing w:before="60" w:after="60"/>
              <w:contextualSpacing/>
              <w:jc w:val="left"/>
              <w:rPr>
                <w:rFonts w:cs="Times New Roman"/>
                <w:sz w:val="20"/>
                <w:szCs w:val="20"/>
                <w:lang w:val="en-GB"/>
              </w:rPr>
            </w:pPr>
          </w:p>
        </w:tc>
      </w:tr>
    </w:tbl>
    <w:p w:rsidR="00590337" w:rsidRPr="006314C9" w:rsidRDefault="00590337">
      <w:pPr>
        <w:rPr>
          <w:lang w:val="en-GB"/>
        </w:rPr>
      </w:pPr>
    </w:p>
    <w:p w:rsidR="00521A8F" w:rsidRPr="006314C9" w:rsidRDefault="00422F98" w:rsidP="00B27FEA">
      <w:pPr>
        <w:pStyle w:val="Heading1"/>
        <w:numPr>
          <w:ilvl w:val="0"/>
          <w:numId w:val="0"/>
        </w:numPr>
        <w:ind w:left="720" w:hanging="360"/>
        <w:jc w:val="center"/>
        <w:rPr>
          <w:rFonts w:cs="Times New Roman"/>
          <w:szCs w:val="22"/>
          <w:lang w:val="en-GB"/>
        </w:rPr>
      </w:pPr>
      <w:bookmarkStart w:id="15" w:name="_Toc24031509"/>
      <w:r w:rsidRPr="006314C9">
        <w:rPr>
          <w:rFonts w:cs="Times New Roman"/>
          <w:szCs w:val="22"/>
          <w:lang w:val="en-GB"/>
        </w:rPr>
        <w:t xml:space="preserve">Sub Chapter: </w:t>
      </w:r>
      <w:r w:rsidR="00521A8F" w:rsidRPr="006314C9">
        <w:rPr>
          <w:rFonts w:cs="Times New Roman"/>
          <w:szCs w:val="22"/>
          <w:lang w:val="en-GB"/>
        </w:rPr>
        <w:t>Air quality</w:t>
      </w:r>
      <w:bookmarkEnd w:id="15"/>
    </w:p>
    <w:p w:rsidR="00521A8F" w:rsidRPr="006314C9" w:rsidRDefault="00521A8F" w:rsidP="007B0BC7">
      <w:pPr>
        <w:spacing w:after="0"/>
        <w:rPr>
          <w:rFonts w:cs="Times New Roman"/>
          <w:b/>
          <w:lang w:val="en-GB"/>
        </w:rPr>
      </w:pPr>
      <w:r w:rsidRPr="006314C9">
        <w:rPr>
          <w:rFonts w:cs="Times New Roman"/>
          <w:b/>
          <w:lang w:val="en-GB"/>
        </w:rPr>
        <w:t>Background information</w:t>
      </w:r>
    </w:p>
    <w:p w:rsidR="00521A8F" w:rsidRPr="006314C9" w:rsidRDefault="00521A8F" w:rsidP="00152F5E">
      <w:pPr>
        <w:rPr>
          <w:rFonts w:cs="Times New Roman"/>
          <w:lang w:val="en-GB"/>
        </w:rPr>
      </w:pPr>
      <w:r w:rsidRPr="006314C9">
        <w:rPr>
          <w:rFonts w:cs="Times New Roman"/>
          <w:lang w:val="en-GB"/>
        </w:rPr>
        <w:t>The Air Quality sub-chapter includes five directives: the framework Directive 2008/50/EC and 2016/2284/EC NEC, 2016/802/EC Sulphur content, 94/63/EC VOCs petrol and 2009/126/EC Stage II VOCs petrol Directives.</w:t>
      </w:r>
    </w:p>
    <w:p w:rsidR="00521A8F" w:rsidRPr="006314C9" w:rsidRDefault="00521A8F" w:rsidP="00152F5E">
      <w:pPr>
        <w:pStyle w:val="ListParagraph"/>
        <w:numPr>
          <w:ilvl w:val="0"/>
          <w:numId w:val="22"/>
        </w:numPr>
        <w:spacing w:after="0"/>
        <w:rPr>
          <w:rFonts w:cs="Times New Roman"/>
          <w:lang w:val="en-GB"/>
        </w:rPr>
      </w:pPr>
      <w:r w:rsidRPr="006314C9">
        <w:rPr>
          <w:rFonts w:cs="Times New Roman"/>
          <w:lang w:val="en-GB"/>
        </w:rPr>
        <w:t xml:space="preserve">The framework Directive, Directive 2008/50/EC on ambient air quality and cleaner air </w:t>
      </w:r>
      <w:r w:rsidR="00333416" w:rsidRPr="006314C9">
        <w:rPr>
          <w:rFonts w:cs="Times New Roman"/>
          <w:lang w:val="en-GB"/>
        </w:rPr>
        <w:t>(</w:t>
      </w:r>
      <w:r w:rsidR="00333416" w:rsidRPr="006314C9">
        <w:rPr>
          <w:rFonts w:cs="Times New Roman"/>
          <w:i/>
          <w:lang w:val="en-GB"/>
        </w:rPr>
        <w:t>Ambient Air Quality Directive</w:t>
      </w:r>
      <w:r w:rsidR="00333416" w:rsidRPr="006314C9">
        <w:rPr>
          <w:rFonts w:cs="Times New Roman"/>
          <w:lang w:val="en-GB"/>
        </w:rPr>
        <w:t xml:space="preserve">) </w:t>
      </w:r>
      <w:r w:rsidRPr="006314C9">
        <w:rPr>
          <w:rFonts w:cs="Times New Roman"/>
          <w:lang w:val="en-GB"/>
        </w:rPr>
        <w:t>provides the general legal and policy context whereas more specific legal measures and guidance detail</w:t>
      </w:r>
      <w:r w:rsidR="003B6A8B" w:rsidRPr="006314C9">
        <w:rPr>
          <w:rFonts w:cs="Times New Roman"/>
          <w:lang w:val="en-GB"/>
        </w:rPr>
        <w:t>ing</w:t>
      </w:r>
      <w:r w:rsidRPr="006314C9">
        <w:rPr>
          <w:rFonts w:cs="Times New Roman"/>
          <w:lang w:val="en-GB"/>
        </w:rPr>
        <w:t xml:space="preserve"> implementation </w:t>
      </w:r>
      <w:proofErr w:type="spellStart"/>
      <w:r w:rsidR="003B6A8B" w:rsidRPr="006314C9">
        <w:rPr>
          <w:rFonts w:cs="Times New Roman"/>
          <w:lang w:val="en-GB"/>
        </w:rPr>
        <w:t>is</w:t>
      </w:r>
      <w:r w:rsidR="00AF387A" w:rsidRPr="006314C9">
        <w:rPr>
          <w:rFonts w:cs="Times New Roman"/>
          <w:lang w:val="en-GB"/>
        </w:rPr>
        <w:t>left</w:t>
      </w:r>
      <w:proofErr w:type="spellEnd"/>
      <w:r w:rsidR="00AF387A" w:rsidRPr="006314C9">
        <w:rPr>
          <w:rFonts w:cs="Times New Roman"/>
          <w:lang w:val="en-GB"/>
        </w:rPr>
        <w:t xml:space="preserve"> to be regulated by </w:t>
      </w:r>
      <w:r w:rsidRPr="006314C9">
        <w:rPr>
          <w:rFonts w:cs="Times New Roman"/>
          <w:lang w:val="en-GB"/>
        </w:rPr>
        <w:t>the Member States. Ambient air quality legislation aims at the establishment and maintenance of an air quality standard, which does not adversely affect human health or the environment. The Directive includes thresholds, limit values and target values set to assess each pollutant covered by the Directive, designation of zones and agglomerations and specific bodies to carry out the set tasks using data collected at selected sampling points. Other key elements of the Directive consist in the introduction of air quality plans where pollution levels in any particular area are higher than the thresholds and short-term action plans if there is a risk that pollution levels may exceed the thresholds etc.</w:t>
      </w:r>
    </w:p>
    <w:p w:rsidR="00521A8F" w:rsidRPr="006314C9" w:rsidRDefault="00521A8F" w:rsidP="00B27FEA">
      <w:pPr>
        <w:pStyle w:val="ListParagraph"/>
        <w:numPr>
          <w:ilvl w:val="0"/>
          <w:numId w:val="10"/>
        </w:numPr>
        <w:rPr>
          <w:rFonts w:cs="Times New Roman"/>
          <w:lang w:val="en-GB"/>
        </w:rPr>
      </w:pPr>
      <w:r w:rsidRPr="006314C9">
        <w:rPr>
          <w:rFonts w:cs="Times New Roman"/>
          <w:lang w:val="en-GB"/>
        </w:rPr>
        <w:t xml:space="preserve">Directive 2016/2284 on the reduction of national emissions of certain atmospheric pollutants (the new </w:t>
      </w:r>
      <w:r w:rsidRPr="006314C9">
        <w:rPr>
          <w:rFonts w:cs="Times New Roman"/>
          <w:i/>
          <w:lang w:val="en-GB"/>
        </w:rPr>
        <w:t>National Emission Ceilings (NEC) Directive</w:t>
      </w:r>
      <w:r w:rsidRPr="006314C9">
        <w:rPr>
          <w:rFonts w:cs="Times New Roman"/>
          <w:lang w:val="en-GB"/>
        </w:rPr>
        <w:t xml:space="preserve">), sets national reduction commitments for the </w:t>
      </w:r>
      <w:r w:rsidRPr="006314C9">
        <w:rPr>
          <w:rFonts w:cs="Times New Roman"/>
          <w:lang w:val="en-GB"/>
        </w:rPr>
        <w:lastRenderedPageBreak/>
        <w:t xml:space="preserve">five pollutants (sulphur dioxide, nitrogen oxides, volatile organic compounds, ammonia and fine particulate matter) responsible for acidification, </w:t>
      </w:r>
      <w:proofErr w:type="spellStart"/>
      <w:r w:rsidRPr="006314C9">
        <w:rPr>
          <w:rFonts w:cs="Times New Roman"/>
          <w:lang w:val="en-GB"/>
        </w:rPr>
        <w:t>eutrophication</w:t>
      </w:r>
      <w:proofErr w:type="spellEnd"/>
      <w:r w:rsidRPr="006314C9">
        <w:rPr>
          <w:rFonts w:cs="Times New Roman"/>
          <w:lang w:val="en-GB"/>
        </w:rPr>
        <w:t xml:space="preserve"> and ground-level ozone pollution which lead to significant negative impacts on human health and the environment. </w:t>
      </w:r>
    </w:p>
    <w:p w:rsidR="00521A8F" w:rsidRPr="006314C9" w:rsidRDefault="00521A8F" w:rsidP="007B0BC7">
      <w:pPr>
        <w:pStyle w:val="ListParagraph"/>
        <w:numPr>
          <w:ilvl w:val="0"/>
          <w:numId w:val="10"/>
        </w:numPr>
        <w:rPr>
          <w:rFonts w:cs="Times New Roman"/>
          <w:lang w:val="en-GB"/>
        </w:rPr>
      </w:pPr>
      <w:r w:rsidRPr="006314C9">
        <w:rPr>
          <w:rFonts w:cs="Times New Roman"/>
          <w:lang w:val="en-GB"/>
        </w:rPr>
        <w:t xml:space="preserve">Directive (EU) 2016/802 of the European Parliament and the Council on the reduction in the </w:t>
      </w:r>
      <w:r w:rsidRPr="006314C9">
        <w:rPr>
          <w:rFonts w:cs="Times New Roman"/>
          <w:i/>
          <w:lang w:val="en-GB"/>
        </w:rPr>
        <w:t xml:space="preserve">sulphur content of certain liquid </w:t>
      </w:r>
      <w:proofErr w:type="gramStart"/>
      <w:r w:rsidRPr="006314C9">
        <w:rPr>
          <w:rFonts w:cs="Times New Roman"/>
          <w:i/>
          <w:lang w:val="en-GB"/>
        </w:rPr>
        <w:t>fuels</w:t>
      </w:r>
      <w:r w:rsidRPr="006314C9">
        <w:rPr>
          <w:rFonts w:cs="Times New Roman"/>
          <w:lang w:val="en-GB"/>
        </w:rPr>
        <w:t>,</w:t>
      </w:r>
      <w:proofErr w:type="gramEnd"/>
      <w:r w:rsidRPr="006314C9">
        <w:rPr>
          <w:rFonts w:cs="Times New Roman"/>
          <w:lang w:val="en-GB"/>
        </w:rPr>
        <w:t xml:space="preserve"> is intended to combat emissions of sulphur dioxide, which are one of the causes of acidification and particle formation in the EU, and are one of the factors causing damage to ecosystems, biodiversity and human health. </w:t>
      </w:r>
    </w:p>
    <w:p w:rsidR="00521A8F" w:rsidRPr="006314C9" w:rsidRDefault="00521A8F" w:rsidP="00152F5E">
      <w:pPr>
        <w:pStyle w:val="ListParagraph"/>
        <w:numPr>
          <w:ilvl w:val="0"/>
          <w:numId w:val="10"/>
        </w:numPr>
        <w:rPr>
          <w:rFonts w:cs="Times New Roman"/>
          <w:lang w:val="en-GB"/>
        </w:rPr>
      </w:pPr>
      <w:r w:rsidRPr="006314C9">
        <w:rPr>
          <w:rFonts w:cs="Times New Roman"/>
          <w:lang w:val="en-GB"/>
        </w:rPr>
        <w:t>Directive 94/63/EC On the control of volatile organic compound (</w:t>
      </w:r>
      <w:r w:rsidRPr="006314C9">
        <w:rPr>
          <w:rFonts w:cs="Times New Roman"/>
          <w:i/>
          <w:lang w:val="en-GB"/>
        </w:rPr>
        <w:t>VOC</w:t>
      </w:r>
      <w:r w:rsidRPr="006314C9">
        <w:rPr>
          <w:rFonts w:cs="Times New Roman"/>
          <w:lang w:val="en-GB"/>
        </w:rPr>
        <w:t xml:space="preserve">) emissions resulting from the storage of </w:t>
      </w:r>
      <w:r w:rsidRPr="006314C9">
        <w:rPr>
          <w:rFonts w:cs="Times New Roman"/>
          <w:i/>
          <w:lang w:val="en-GB"/>
        </w:rPr>
        <w:t>petrol</w:t>
      </w:r>
      <w:r w:rsidRPr="006314C9">
        <w:rPr>
          <w:rFonts w:cs="Times New Roman"/>
          <w:lang w:val="en-GB"/>
        </w:rPr>
        <w:t xml:space="preserve"> and its distribution from terminals to service stations aims to reduce emissions from volatile organic compounds due to evaporation of petrol in the fuel storage and distribution chain.</w:t>
      </w:r>
      <w:r w:rsidRPr="006314C9">
        <w:rPr>
          <w:rFonts w:eastAsia="Calibri" w:cs="Times New Roman"/>
          <w:lang w:val="en-GB" w:eastAsia="ja-JP"/>
        </w:rPr>
        <w:t xml:space="preserve"> Amended by Regulations (EC) 1882/2003 and (EC) 1137/2008 and Decision EU (2018/853) of 30 May 2018</w:t>
      </w:r>
      <w:r w:rsidRPr="006314C9">
        <w:rPr>
          <w:rFonts w:cs="Times New Roman"/>
          <w:lang w:val="en-GB"/>
        </w:rPr>
        <w:t xml:space="preserve">. </w:t>
      </w:r>
    </w:p>
    <w:p w:rsidR="00521A8F" w:rsidRPr="006314C9" w:rsidRDefault="00521A8F" w:rsidP="00152F5E">
      <w:pPr>
        <w:pStyle w:val="ListParagraph"/>
        <w:numPr>
          <w:ilvl w:val="0"/>
          <w:numId w:val="10"/>
        </w:numPr>
        <w:rPr>
          <w:rFonts w:cs="Times New Roman"/>
          <w:lang w:val="en-GB"/>
        </w:rPr>
      </w:pPr>
      <w:r w:rsidRPr="006314C9">
        <w:rPr>
          <w:rFonts w:cs="Times New Roman"/>
          <w:lang w:val="en-GB"/>
        </w:rPr>
        <w:t xml:space="preserve">Directive 2009/126/EC on </w:t>
      </w:r>
      <w:r w:rsidRPr="006314C9">
        <w:rPr>
          <w:rFonts w:cs="Times New Roman"/>
          <w:i/>
          <w:lang w:val="en-GB"/>
        </w:rPr>
        <w:t xml:space="preserve">Stage II </w:t>
      </w:r>
      <w:proofErr w:type="spellStart"/>
      <w:r w:rsidRPr="006314C9">
        <w:rPr>
          <w:rFonts w:cs="Times New Roman"/>
          <w:i/>
          <w:lang w:val="en-GB"/>
        </w:rPr>
        <w:t>petrol</w:t>
      </w:r>
      <w:r w:rsidR="00A234D8" w:rsidRPr="006314C9">
        <w:rPr>
          <w:rFonts w:cs="Times New Roman"/>
          <w:lang w:val="en-GB"/>
        </w:rPr>
        <w:t>vapour</w:t>
      </w:r>
      <w:proofErr w:type="spellEnd"/>
      <w:r w:rsidRPr="006314C9">
        <w:rPr>
          <w:rFonts w:cs="Times New Roman"/>
          <w:lang w:val="en-GB"/>
        </w:rPr>
        <w:t xml:space="preserve"> recovery during </w:t>
      </w:r>
      <w:r w:rsidR="00A234D8" w:rsidRPr="006314C9">
        <w:rPr>
          <w:rFonts w:cs="Times New Roman"/>
          <w:lang w:val="en-GB"/>
        </w:rPr>
        <w:t>refuelling</w:t>
      </w:r>
      <w:r w:rsidRPr="006314C9">
        <w:rPr>
          <w:rFonts w:cs="Times New Roman"/>
          <w:lang w:val="en-GB"/>
        </w:rPr>
        <w:t xml:space="preserve"> of motor vehicles at service stations aims the recovery petrol vapour displaced from the fuel tank of a motor vehicle during </w:t>
      </w:r>
      <w:r w:rsidR="00A234D8" w:rsidRPr="006314C9">
        <w:rPr>
          <w:rFonts w:cs="Times New Roman"/>
          <w:lang w:val="en-GB"/>
        </w:rPr>
        <w:t>refuelling</w:t>
      </w:r>
      <w:r w:rsidRPr="006314C9">
        <w:rPr>
          <w:rFonts w:cs="Times New Roman"/>
          <w:lang w:val="en-GB"/>
        </w:rPr>
        <w:t xml:space="preserve"> at a service station. Amended by Directive 2014/99/EU. </w:t>
      </w:r>
    </w:p>
    <w:p w:rsidR="00521A8F" w:rsidRPr="006314C9" w:rsidRDefault="00521A8F" w:rsidP="00152F5E">
      <w:pPr>
        <w:spacing w:after="0"/>
        <w:rPr>
          <w:rFonts w:cs="Times New Roman"/>
          <w:b/>
          <w:lang w:val="en-GB"/>
        </w:rPr>
      </w:pPr>
      <w:r w:rsidRPr="006314C9">
        <w:rPr>
          <w:rFonts w:cs="Times New Roman"/>
          <w:b/>
          <w:lang w:val="en-GB"/>
        </w:rPr>
        <w:t>Transposition</w:t>
      </w:r>
    </w:p>
    <w:p w:rsidR="00521A8F" w:rsidRPr="006314C9" w:rsidRDefault="00521A8F" w:rsidP="00152F5E">
      <w:pPr>
        <w:rPr>
          <w:rFonts w:cs="Times New Roman"/>
          <w:lang w:val="en-GB"/>
        </w:rPr>
      </w:pPr>
      <w:r w:rsidRPr="006314C9">
        <w:rPr>
          <w:rFonts w:cs="Times New Roman"/>
          <w:lang w:val="en-GB"/>
        </w:rPr>
        <w:t xml:space="preserve">With regard to </w:t>
      </w:r>
      <w:r w:rsidR="00A83334" w:rsidRPr="006314C9">
        <w:rPr>
          <w:rFonts w:cs="Times New Roman"/>
          <w:i/>
          <w:lang w:val="en-GB"/>
        </w:rPr>
        <w:t xml:space="preserve">Ambient </w:t>
      </w:r>
      <w:r w:rsidRPr="006314C9">
        <w:rPr>
          <w:rFonts w:cs="Times New Roman"/>
          <w:i/>
          <w:lang w:val="en-GB"/>
        </w:rPr>
        <w:t xml:space="preserve">Air </w:t>
      </w:r>
      <w:proofErr w:type="spellStart"/>
      <w:r w:rsidRPr="006314C9">
        <w:rPr>
          <w:rFonts w:cs="Times New Roman"/>
          <w:i/>
          <w:lang w:val="en-GB"/>
        </w:rPr>
        <w:t>Quality</w:t>
      </w:r>
      <w:r w:rsidR="00A83334" w:rsidRPr="006314C9">
        <w:rPr>
          <w:rFonts w:cs="Times New Roman"/>
          <w:i/>
          <w:lang w:val="en-GB"/>
        </w:rPr>
        <w:t>Directive</w:t>
      </w:r>
      <w:proofErr w:type="spellEnd"/>
      <w:r w:rsidRPr="006314C9">
        <w:rPr>
          <w:rFonts w:cs="Times New Roman"/>
          <w:lang w:val="en-GB"/>
        </w:rPr>
        <w:t>, a good level of transposition has been achieved. Laws and bylaws have been prepared, which transpose some of the directives mentioned above and for the rest of the directives the relevant draft acts have been prepared. Few amendments remain to be transposed</w:t>
      </w:r>
      <w:r w:rsidR="00333416" w:rsidRPr="006314C9">
        <w:rPr>
          <w:rFonts w:cs="Times New Roman"/>
          <w:lang w:val="en-GB"/>
        </w:rPr>
        <w:t xml:space="preserve"> which, if done</w:t>
      </w:r>
      <w:r w:rsidR="003B6A8B" w:rsidRPr="006314C9">
        <w:rPr>
          <w:rFonts w:cs="Times New Roman"/>
          <w:lang w:val="en-GB"/>
        </w:rPr>
        <w:t>,</w:t>
      </w:r>
      <w:r w:rsidR="00333416" w:rsidRPr="006314C9">
        <w:rPr>
          <w:rFonts w:cs="Times New Roman"/>
          <w:lang w:val="en-GB"/>
        </w:rPr>
        <w:t xml:space="preserve"> will increase the level of transposition. However, the existing legislation need to be revised as to reflect the changes in the administrative structure in Albania but as well to provide better instruments </w:t>
      </w:r>
      <w:r w:rsidR="00E80F8B" w:rsidRPr="006314C9">
        <w:rPr>
          <w:rFonts w:cs="Times New Roman"/>
          <w:lang w:val="en-GB"/>
        </w:rPr>
        <w:t xml:space="preserve">and measures </w:t>
      </w:r>
      <w:r w:rsidR="00333416" w:rsidRPr="006314C9">
        <w:rPr>
          <w:rFonts w:cs="Times New Roman"/>
          <w:lang w:val="en-GB"/>
        </w:rPr>
        <w:t xml:space="preserve">for its implementation which reflect the national conditions. </w:t>
      </w:r>
    </w:p>
    <w:p w:rsidR="00521A8F" w:rsidRPr="006314C9" w:rsidRDefault="00521A8F" w:rsidP="00152F5E">
      <w:pPr>
        <w:rPr>
          <w:rFonts w:cs="Times New Roman"/>
          <w:i/>
          <w:lang w:val="en-GB"/>
        </w:rPr>
      </w:pPr>
      <w:r w:rsidRPr="006314C9">
        <w:rPr>
          <w:rFonts w:cs="Times New Roman"/>
          <w:lang w:val="en-GB"/>
        </w:rPr>
        <w:t xml:space="preserve">It has been achieved a high level of transposition of the </w:t>
      </w:r>
      <w:r w:rsidRPr="006314C9">
        <w:rPr>
          <w:rFonts w:cs="Times New Roman"/>
          <w:i/>
          <w:lang w:val="en-GB"/>
        </w:rPr>
        <w:t>Ambient Air Quality Directive</w:t>
      </w:r>
      <w:r w:rsidRPr="006314C9">
        <w:rPr>
          <w:rFonts w:cs="Times New Roman"/>
          <w:lang w:val="en-GB"/>
        </w:rPr>
        <w:t xml:space="preserve">. The Law No. 162, dated 04.12.2014; “On protection of ambient air quality” and the Decision of the Council of Ministers (DCM) No. 352 “On ambient air quality assessment and requirements for certain related pollutants” fully transpose the Ambient Air Quality Directive. Only relevant amendments to the annexes in line with the Commission Directive (EU) 2015/1480 concerning reference methods, data validation and location of sampling points for the assessment of ambient air quality, remain to be transposed. </w:t>
      </w:r>
    </w:p>
    <w:p w:rsidR="00521A8F" w:rsidRPr="006314C9" w:rsidRDefault="00521A8F" w:rsidP="00152F5E">
      <w:pPr>
        <w:rPr>
          <w:rFonts w:cs="Times New Roman"/>
          <w:lang w:val="en-GB"/>
        </w:rPr>
      </w:pPr>
      <w:r w:rsidRPr="006314C9">
        <w:rPr>
          <w:rFonts w:eastAsia="Times New Roman" w:cs="Times New Roman"/>
          <w:shd w:val="clear" w:color="auto" w:fill="FFFFFF"/>
          <w:lang w:val="en-GB"/>
        </w:rPr>
        <w:t xml:space="preserve">The transposition of the </w:t>
      </w:r>
      <w:r w:rsidRPr="006314C9">
        <w:rPr>
          <w:rFonts w:eastAsia="Times New Roman" w:cs="Times New Roman"/>
          <w:i/>
          <w:shd w:val="clear" w:color="auto" w:fill="FFFFFF"/>
          <w:lang w:val="en-GB"/>
        </w:rPr>
        <w:t>NEC Directive</w:t>
      </w:r>
      <w:r w:rsidRPr="006314C9">
        <w:rPr>
          <w:rFonts w:eastAsia="Times New Roman" w:cs="Times New Roman"/>
          <w:shd w:val="clear" w:color="auto" w:fill="FFFFFF"/>
          <w:lang w:val="en-GB"/>
        </w:rPr>
        <w:t xml:space="preserve"> (EU) 2016/2284 is at an </w:t>
      </w:r>
      <w:r w:rsidRPr="006314C9">
        <w:rPr>
          <w:rFonts w:cs="Times New Roman"/>
          <w:lang w:val="en-GB"/>
        </w:rPr>
        <w:t xml:space="preserve">initial stage. A draft Governmental Order “On the rules on preparation, approval, reassessment and implementation of the national programmes on reducing the emissions in the air” fully transposing the NEC </w:t>
      </w:r>
      <w:r w:rsidRPr="006314C9">
        <w:rPr>
          <w:rFonts w:eastAsia="Times New Roman" w:cs="Times New Roman"/>
          <w:shd w:val="clear" w:color="auto" w:fill="FFFFFF"/>
          <w:lang w:val="en-GB"/>
        </w:rPr>
        <w:t xml:space="preserve">Directive (EU) 2016/2284 </w:t>
      </w:r>
      <w:r w:rsidRPr="006314C9">
        <w:rPr>
          <w:rFonts w:cs="Times New Roman"/>
          <w:lang w:val="en-GB"/>
        </w:rPr>
        <w:t xml:space="preserve">is prepared and following the stakeholder consultation, the adoption to the Council of Ministers is expected within December 2019. </w:t>
      </w:r>
    </w:p>
    <w:p w:rsidR="00521A8F" w:rsidRPr="006314C9" w:rsidRDefault="00521A8F" w:rsidP="00152F5E">
      <w:pPr>
        <w:rPr>
          <w:rFonts w:cs="Times New Roman"/>
          <w:i/>
          <w:lang w:val="en-GB"/>
        </w:rPr>
      </w:pPr>
      <w:r w:rsidRPr="006314C9">
        <w:rPr>
          <w:rFonts w:eastAsia="Times New Roman" w:cs="Times New Roman"/>
          <w:shd w:val="clear" w:color="auto" w:fill="FFFFFF"/>
          <w:lang w:val="en-GB"/>
        </w:rPr>
        <w:t xml:space="preserve">The transposition of the </w:t>
      </w:r>
      <w:r w:rsidR="00A83334" w:rsidRPr="006314C9">
        <w:rPr>
          <w:rFonts w:eastAsia="Times New Roman" w:cs="Times New Roman"/>
          <w:i/>
          <w:shd w:val="clear" w:color="auto" w:fill="FFFFFF"/>
          <w:lang w:val="en-GB"/>
        </w:rPr>
        <w:t xml:space="preserve">Sulphur content </w:t>
      </w:r>
      <w:r w:rsidRPr="006314C9">
        <w:rPr>
          <w:rFonts w:eastAsia="Times New Roman" w:cs="Times New Roman"/>
          <w:i/>
          <w:shd w:val="clear" w:color="auto" w:fill="FFFFFF"/>
          <w:lang w:val="en-GB"/>
        </w:rPr>
        <w:t>Directive</w:t>
      </w:r>
      <w:r w:rsidRPr="006314C9">
        <w:rPr>
          <w:rFonts w:eastAsia="Times New Roman" w:cs="Times New Roman"/>
          <w:shd w:val="clear" w:color="auto" w:fill="FFFFFF"/>
          <w:lang w:val="en-GB"/>
        </w:rPr>
        <w:t xml:space="preserve"> (EU) 2016/802 is at an </w:t>
      </w:r>
      <w:r w:rsidRPr="006314C9">
        <w:rPr>
          <w:rFonts w:cs="Times New Roman"/>
          <w:lang w:val="en-GB"/>
        </w:rPr>
        <w:t xml:space="preserve">initial stage. For the moment, DCM No. 781/2012 transposing the previous Directive 1999/32/EC is in place. A draft DCM “On the quality of certain liquid fuels used for thermal, civil, industrial and sea transport” fully transposing the Directive </w:t>
      </w:r>
      <w:r w:rsidRPr="006314C9">
        <w:rPr>
          <w:rFonts w:eastAsia="Times New Roman" w:cs="Times New Roman"/>
          <w:shd w:val="clear" w:color="auto" w:fill="FFFFFF"/>
          <w:lang w:val="en-GB"/>
        </w:rPr>
        <w:t>(EU) 2016/802</w:t>
      </w:r>
      <w:r w:rsidRPr="006314C9">
        <w:rPr>
          <w:rFonts w:cs="Times New Roman"/>
          <w:lang w:val="en-GB"/>
        </w:rPr>
        <w:t xml:space="preserve"> is prepared. The draft was consulted first with the Energy Community Secretariat in Vienna. Draft DCM is expected to be adopted within December 2019.</w:t>
      </w:r>
    </w:p>
    <w:p w:rsidR="00521A8F" w:rsidRPr="006314C9" w:rsidRDefault="00521A8F" w:rsidP="00152F5E">
      <w:pPr>
        <w:rPr>
          <w:rFonts w:cs="Times New Roman"/>
          <w:i/>
          <w:lang w:val="en-GB"/>
        </w:rPr>
      </w:pPr>
      <w:r w:rsidRPr="006314C9">
        <w:rPr>
          <w:rFonts w:cs="Times New Roman"/>
          <w:lang w:val="en-GB"/>
        </w:rPr>
        <w:t xml:space="preserve">DCM No. 1075 dated 23.12.2015 “On Measures of the control of volatile organic compound (VOC) emissions resulting from the storage of petrol and its distribution from terminals to service stations” fully transposes the </w:t>
      </w:r>
      <w:r w:rsidR="00A83334" w:rsidRPr="006314C9">
        <w:rPr>
          <w:rFonts w:cs="Times New Roman"/>
          <w:i/>
          <w:lang w:val="en-GB"/>
        </w:rPr>
        <w:t xml:space="preserve">VOC petrol </w:t>
      </w:r>
      <w:r w:rsidRPr="006314C9">
        <w:rPr>
          <w:rFonts w:cs="Times New Roman"/>
          <w:i/>
          <w:lang w:val="en-GB"/>
        </w:rPr>
        <w:t xml:space="preserve">Directive </w:t>
      </w:r>
      <w:r w:rsidRPr="006314C9">
        <w:rPr>
          <w:rFonts w:cs="Times New Roman"/>
          <w:lang w:val="en-GB"/>
        </w:rPr>
        <w:t>94/63/EC</w:t>
      </w:r>
      <w:r w:rsidR="00985992" w:rsidRPr="006314C9">
        <w:rPr>
          <w:rFonts w:cs="Times New Roman"/>
          <w:lang w:val="en-GB"/>
        </w:rPr>
        <w:t xml:space="preserve">. </w:t>
      </w:r>
    </w:p>
    <w:p w:rsidR="00521A8F" w:rsidRPr="006314C9" w:rsidRDefault="00521A8F" w:rsidP="00152F5E">
      <w:pPr>
        <w:rPr>
          <w:rFonts w:cs="Times New Roman"/>
          <w:lang w:val="en-GB"/>
        </w:rPr>
      </w:pPr>
      <w:r w:rsidRPr="006314C9">
        <w:rPr>
          <w:rFonts w:eastAsia="Times New Roman" w:cs="Times New Roman"/>
          <w:lang w:val="en-GB"/>
        </w:rPr>
        <w:t xml:space="preserve">Directive </w:t>
      </w:r>
      <w:r w:rsidR="00A83334" w:rsidRPr="006314C9">
        <w:rPr>
          <w:rFonts w:eastAsia="Times New Roman" w:cs="Times New Roman"/>
          <w:i/>
          <w:sz w:val="20"/>
          <w:szCs w:val="20"/>
          <w:lang w:val="en-GB"/>
        </w:rPr>
        <w:t>Stage II VOCs petrol</w:t>
      </w:r>
      <w:r w:rsidRPr="006314C9">
        <w:rPr>
          <w:rFonts w:eastAsia="Times New Roman" w:cs="Times New Roman"/>
          <w:lang w:val="en-GB"/>
        </w:rPr>
        <w:t xml:space="preserve">2009/126/EC is fully transposed by the </w:t>
      </w:r>
      <w:r w:rsidRPr="006314C9">
        <w:rPr>
          <w:rFonts w:cs="Times New Roman"/>
          <w:lang w:val="en-GB"/>
        </w:rPr>
        <w:t xml:space="preserve">DCM No 909 dated 21.12.2016 “On Stage II petrol vapour recovery during refuelling of motor vehicles at service stations”. </w:t>
      </w:r>
    </w:p>
    <w:p w:rsidR="00985992" w:rsidRPr="006314C9" w:rsidRDefault="00985992" w:rsidP="00152F5E">
      <w:pPr>
        <w:rPr>
          <w:rFonts w:cs="Times New Roman"/>
          <w:i/>
          <w:lang w:val="en-GB"/>
        </w:rPr>
      </w:pPr>
      <w:r w:rsidRPr="006314C9">
        <w:rPr>
          <w:rFonts w:cs="Times New Roman"/>
          <w:lang w:val="en-GB"/>
        </w:rPr>
        <w:t xml:space="preserve">Both legal acts mentioned above lack legal instruments to support their implementation. </w:t>
      </w:r>
    </w:p>
    <w:p w:rsidR="00521A8F" w:rsidRPr="006314C9" w:rsidRDefault="00521A8F" w:rsidP="00152F5E">
      <w:pPr>
        <w:spacing w:after="0"/>
        <w:rPr>
          <w:rFonts w:cs="Times New Roman"/>
          <w:lang w:val="en-GB"/>
        </w:rPr>
      </w:pPr>
      <w:r w:rsidRPr="006314C9">
        <w:rPr>
          <w:rFonts w:cs="Times New Roman"/>
          <w:b/>
          <w:lang w:val="en-GB"/>
        </w:rPr>
        <w:t>Implementation</w:t>
      </w:r>
    </w:p>
    <w:p w:rsidR="00521A8F" w:rsidRPr="006314C9" w:rsidRDefault="00521A8F" w:rsidP="00152F5E">
      <w:pPr>
        <w:rPr>
          <w:rFonts w:eastAsia="Times New Roman" w:cs="Times New Roman"/>
          <w:lang w:val="en-GB"/>
        </w:rPr>
      </w:pPr>
      <w:r w:rsidRPr="006314C9">
        <w:rPr>
          <w:rFonts w:cs="Times New Roman"/>
          <w:lang w:val="en-GB"/>
        </w:rPr>
        <w:lastRenderedPageBreak/>
        <w:t xml:space="preserve">Implementation of the </w:t>
      </w:r>
      <w:r w:rsidRPr="006314C9">
        <w:rPr>
          <w:rFonts w:cs="Times New Roman"/>
          <w:i/>
          <w:lang w:val="en-GB"/>
        </w:rPr>
        <w:t>Ambient Air Quality Directive</w:t>
      </w:r>
      <w:r w:rsidRPr="006314C9">
        <w:rPr>
          <w:rFonts w:cs="Times New Roman"/>
          <w:lang w:val="en-GB"/>
        </w:rPr>
        <w:t xml:space="preserve"> is at an initial stage. A National Strategy on Ambient Air Quality is adopted in 2014 while a draft National Ambient Air Quality Plan (NAAQP) is prepared but not adopted yet. </w:t>
      </w:r>
      <w:r w:rsidR="00AF387A" w:rsidRPr="006314C9">
        <w:rPr>
          <w:rFonts w:cs="Times New Roman"/>
          <w:lang w:val="en-GB"/>
        </w:rPr>
        <w:t>O</w:t>
      </w:r>
      <w:r w:rsidRPr="006314C9">
        <w:rPr>
          <w:rFonts w:cs="Times New Roman"/>
          <w:lang w:val="en-GB"/>
        </w:rPr>
        <w:t xml:space="preserve">n local level an Air Quality Plan is drafted for Tirana in 2011 but is not </w:t>
      </w:r>
      <w:proofErr w:type="gramStart"/>
      <w:r w:rsidRPr="006314C9">
        <w:rPr>
          <w:rFonts w:cs="Times New Roman"/>
          <w:lang w:val="en-GB"/>
        </w:rPr>
        <w:t>adopted/implemented</w:t>
      </w:r>
      <w:proofErr w:type="gramEnd"/>
      <w:r w:rsidRPr="006314C9">
        <w:rPr>
          <w:rFonts w:cs="Times New Roman"/>
          <w:lang w:val="en-GB"/>
        </w:rPr>
        <w:t xml:space="preserve"> yet. </w:t>
      </w:r>
      <w:r w:rsidR="009850A5" w:rsidRPr="006314C9">
        <w:rPr>
          <w:rFonts w:cs="Times New Roman"/>
          <w:lang w:val="en-GB"/>
        </w:rPr>
        <w:t>Completion of</w:t>
      </w:r>
      <w:r w:rsidR="00A4331E" w:rsidRPr="006314C9">
        <w:rPr>
          <w:rFonts w:cs="Times New Roman"/>
          <w:lang w:val="en-GB"/>
        </w:rPr>
        <w:t xml:space="preserve"> the planning system for </w:t>
      </w:r>
      <w:r w:rsidR="009850A5" w:rsidRPr="006314C9">
        <w:rPr>
          <w:rFonts w:cs="Times New Roman"/>
          <w:lang w:val="en-GB"/>
        </w:rPr>
        <w:t xml:space="preserve">ambient </w:t>
      </w:r>
      <w:r w:rsidR="00A4331E" w:rsidRPr="006314C9">
        <w:rPr>
          <w:rFonts w:cs="Times New Roman"/>
          <w:lang w:val="en-GB"/>
        </w:rPr>
        <w:t xml:space="preserve">air quality in Albania is needed. </w:t>
      </w:r>
      <w:r w:rsidRPr="006314C9">
        <w:rPr>
          <w:rFonts w:cs="Times New Roman"/>
          <w:lang w:val="en-GB"/>
        </w:rPr>
        <w:t>The current network for air quality monitoring does not allow for providing a correct picture of air quality</w:t>
      </w:r>
      <w:r w:rsidR="00AF387A" w:rsidRPr="006314C9">
        <w:rPr>
          <w:rFonts w:cs="Times New Roman"/>
          <w:lang w:val="en-GB"/>
        </w:rPr>
        <w:t xml:space="preserve"> in Albania</w:t>
      </w:r>
      <w:r w:rsidRPr="006314C9">
        <w:rPr>
          <w:rFonts w:cs="Times New Roman"/>
          <w:lang w:val="en-GB"/>
        </w:rPr>
        <w:t>. It does not cover air quality assessment in rural or rural background locations. The current Ambient Air Quality monitoring practice</w:t>
      </w:r>
      <w:r w:rsidR="00A4331E" w:rsidRPr="006314C9">
        <w:rPr>
          <w:rFonts w:cs="Times New Roman"/>
          <w:lang w:val="en-GB"/>
        </w:rPr>
        <w:t>, including data collection and reporting,</w:t>
      </w:r>
      <w:r w:rsidRPr="006314C9">
        <w:rPr>
          <w:rFonts w:cs="Times New Roman"/>
          <w:lang w:val="en-GB"/>
        </w:rPr>
        <w:t xml:space="preserve"> is </w:t>
      </w:r>
      <w:r w:rsidR="00A4331E" w:rsidRPr="006314C9">
        <w:rPr>
          <w:rFonts w:cs="Times New Roman"/>
          <w:lang w:val="en-GB"/>
        </w:rPr>
        <w:t xml:space="preserve">not fully </w:t>
      </w:r>
      <w:r w:rsidRPr="006314C9">
        <w:rPr>
          <w:rFonts w:cs="Times New Roman"/>
          <w:lang w:val="en-GB"/>
        </w:rPr>
        <w:t xml:space="preserve">in line with the EU requirements. </w:t>
      </w:r>
      <w:r w:rsidR="00E80F8B" w:rsidRPr="006314C9">
        <w:rPr>
          <w:rFonts w:cs="Times New Roman"/>
          <w:lang w:val="en-GB"/>
        </w:rPr>
        <w:t>There are about 7 air quality monitoring station which do not provide good assessment of the air quality in Albania, thus i</w:t>
      </w:r>
      <w:r w:rsidR="00C3298E" w:rsidRPr="006314C9">
        <w:rPr>
          <w:rFonts w:cs="Times New Roman"/>
          <w:lang w:val="en-GB"/>
        </w:rPr>
        <w:t>n</w:t>
      </w:r>
      <w:r w:rsidR="00E80F8B" w:rsidRPr="006314C9">
        <w:rPr>
          <w:rFonts w:cs="Times New Roman"/>
          <w:lang w:val="en-GB"/>
        </w:rPr>
        <w:t>cr</w:t>
      </w:r>
      <w:r w:rsidR="00C3298E" w:rsidRPr="006314C9">
        <w:rPr>
          <w:rFonts w:cs="Times New Roman"/>
          <w:lang w:val="en-GB"/>
        </w:rPr>
        <w:t>e</w:t>
      </w:r>
      <w:r w:rsidR="00E80F8B" w:rsidRPr="006314C9">
        <w:rPr>
          <w:rFonts w:cs="Times New Roman"/>
          <w:lang w:val="en-GB"/>
        </w:rPr>
        <w:t xml:space="preserve">ase of the scope of the assessed parameters and the monitoring network is needed. </w:t>
      </w:r>
      <w:r w:rsidRPr="006314C9">
        <w:rPr>
          <w:rFonts w:cs="Times New Roman"/>
          <w:lang w:val="en-GB"/>
        </w:rPr>
        <w:t xml:space="preserve">The annual budget for monitoring is not sufficient to cover the monitoring needs and it should be significantly increased. </w:t>
      </w:r>
      <w:r w:rsidR="0037509C" w:rsidRPr="006314C9">
        <w:rPr>
          <w:rFonts w:cs="Times New Roman"/>
          <w:lang w:val="en-GB"/>
        </w:rPr>
        <w:t xml:space="preserve">Assessment of the current monitoring and the technical capacity is needed as to provide good planning of the future actions to complete air monitoring, data collection, </w:t>
      </w:r>
      <w:proofErr w:type="gramStart"/>
      <w:r w:rsidR="0037509C" w:rsidRPr="006314C9">
        <w:rPr>
          <w:rFonts w:cs="Times New Roman"/>
          <w:lang w:val="en-GB"/>
        </w:rPr>
        <w:t>reporting</w:t>
      </w:r>
      <w:proofErr w:type="gramEnd"/>
      <w:r w:rsidR="0037509C" w:rsidRPr="006314C9">
        <w:rPr>
          <w:rFonts w:cs="Times New Roman"/>
          <w:lang w:val="en-GB"/>
        </w:rPr>
        <w:t xml:space="preserve"> and information dissemination. </w:t>
      </w:r>
      <w:r w:rsidRPr="006314C9">
        <w:rPr>
          <w:rFonts w:cs="Times New Roman"/>
          <w:lang w:val="en-GB"/>
        </w:rPr>
        <w:t>Urgent measures are needed to develop a consolidated, properly equipped monitoring and information systems</w:t>
      </w:r>
      <w:r w:rsidR="0037509C" w:rsidRPr="006314C9">
        <w:rPr>
          <w:rFonts w:cs="Times New Roman"/>
          <w:lang w:val="en-GB"/>
        </w:rPr>
        <w:t xml:space="preserve"> for air quality</w:t>
      </w:r>
      <w:r w:rsidRPr="006314C9">
        <w:rPr>
          <w:rFonts w:cs="Times New Roman"/>
          <w:lang w:val="en-GB"/>
        </w:rPr>
        <w:t>.</w:t>
      </w:r>
    </w:p>
    <w:p w:rsidR="002B3BF3" w:rsidRPr="006314C9" w:rsidRDefault="00521A8F" w:rsidP="00152F5E">
      <w:pPr>
        <w:rPr>
          <w:rFonts w:cs="Times New Roman"/>
          <w:lang w:val="en-GB"/>
        </w:rPr>
      </w:pPr>
      <w:r w:rsidRPr="006314C9">
        <w:rPr>
          <w:rFonts w:cs="Times New Roman"/>
          <w:lang w:val="en-GB"/>
        </w:rPr>
        <w:t xml:space="preserve">Implementation of the </w:t>
      </w:r>
      <w:r w:rsidRPr="006314C9">
        <w:rPr>
          <w:rFonts w:cs="Times New Roman"/>
          <w:i/>
          <w:lang w:val="en-GB"/>
        </w:rPr>
        <w:t>NEC Directive</w:t>
      </w:r>
      <w:r w:rsidRPr="006314C9">
        <w:rPr>
          <w:rFonts w:cs="Times New Roman"/>
          <w:lang w:val="en-GB"/>
        </w:rPr>
        <w:t xml:space="preserve"> is at an initial stage. Albania has ratified the Gothenburg Protocol. The proposed levels presented by Albania were not accepted as they were not coherent with current projections for future emissions, provided by the technical assessments done by IIASA, the CLRTAP Centre for Integrated Assessment. In meantime the lack of national technical capacities had made very difficult the revision of the inventories and presently Albania does not have a consolidated air emission inventory system. Without consolidating the emission inventory, </w:t>
      </w:r>
      <w:r w:rsidR="00C3298E" w:rsidRPr="006314C9">
        <w:rPr>
          <w:rFonts w:cs="Times New Roman"/>
          <w:lang w:val="en-GB"/>
        </w:rPr>
        <w:t>modelling</w:t>
      </w:r>
      <w:r w:rsidRPr="006314C9">
        <w:rPr>
          <w:rFonts w:cs="Times New Roman"/>
          <w:lang w:val="en-GB"/>
        </w:rPr>
        <w:t xml:space="preserve"> and projections of air emissions, revising emission inventories for the base year, is very difficult to set up the national emission ceilings</w:t>
      </w:r>
      <w:r w:rsidR="009850A5" w:rsidRPr="006314C9">
        <w:rPr>
          <w:rFonts w:cs="Times New Roman"/>
          <w:lang w:val="en-GB"/>
        </w:rPr>
        <w:t xml:space="preserve"> on national and industry level</w:t>
      </w:r>
      <w:r w:rsidRPr="006314C9">
        <w:rPr>
          <w:rFonts w:cs="Times New Roman"/>
          <w:lang w:val="en-GB"/>
        </w:rPr>
        <w:t>.</w:t>
      </w:r>
    </w:p>
    <w:p w:rsidR="00521A8F" w:rsidRPr="006314C9" w:rsidRDefault="00521A8F" w:rsidP="00152F5E">
      <w:pPr>
        <w:rPr>
          <w:rFonts w:cs="Times New Roman"/>
          <w:lang w:val="en-GB"/>
        </w:rPr>
      </w:pPr>
      <w:r w:rsidRPr="006314C9">
        <w:rPr>
          <w:rFonts w:cs="Times New Roman"/>
          <w:i/>
          <w:lang w:val="en-GB"/>
        </w:rPr>
        <w:t>Sulphur Content in Liquid Fuels D</w:t>
      </w:r>
      <w:r w:rsidRPr="006314C9">
        <w:rPr>
          <w:rFonts w:eastAsia="Times New Roman" w:cs="Times New Roman"/>
          <w:i/>
          <w:lang w:val="en-GB"/>
        </w:rPr>
        <w:t>irective</w:t>
      </w:r>
      <w:r w:rsidRPr="006314C9">
        <w:rPr>
          <w:rFonts w:eastAsia="Times New Roman" w:cs="Times New Roman"/>
          <w:lang w:val="en-GB"/>
        </w:rPr>
        <w:t xml:space="preserve"> (EU) 2016/802 is </w:t>
      </w:r>
      <w:r w:rsidR="00A83334" w:rsidRPr="006314C9">
        <w:rPr>
          <w:rFonts w:cs="Times New Roman"/>
          <w:lang w:val="en-GB"/>
        </w:rPr>
        <w:t>in initial stage of</w:t>
      </w:r>
      <w:r w:rsidR="007D2E53" w:rsidRPr="006314C9">
        <w:rPr>
          <w:rFonts w:cs="Times New Roman"/>
          <w:lang w:val="en-GB"/>
        </w:rPr>
        <w:t xml:space="preserve"> implement</w:t>
      </w:r>
      <w:r w:rsidR="00A83334" w:rsidRPr="006314C9">
        <w:rPr>
          <w:rFonts w:cs="Times New Roman"/>
          <w:lang w:val="en-GB"/>
        </w:rPr>
        <w:t>ation</w:t>
      </w:r>
      <w:r w:rsidRPr="006314C9">
        <w:rPr>
          <w:rFonts w:eastAsia="Times New Roman" w:cs="Times New Roman"/>
          <w:lang w:val="en-GB"/>
        </w:rPr>
        <w:t xml:space="preserve">. </w:t>
      </w:r>
      <w:proofErr w:type="gramStart"/>
      <w:r w:rsidRPr="006314C9">
        <w:rPr>
          <w:rFonts w:cs="Times New Roman"/>
          <w:lang w:val="en-GB"/>
        </w:rPr>
        <w:t xml:space="preserve">Competent authorities </w:t>
      </w:r>
      <w:r w:rsidR="00A83334" w:rsidRPr="006314C9">
        <w:rPr>
          <w:rFonts w:cs="Times New Roman"/>
          <w:lang w:val="en-GB"/>
        </w:rPr>
        <w:t>is</w:t>
      </w:r>
      <w:proofErr w:type="gramEnd"/>
      <w:r w:rsidR="00A83334" w:rsidRPr="006314C9">
        <w:rPr>
          <w:rFonts w:cs="Times New Roman"/>
          <w:lang w:val="en-GB"/>
        </w:rPr>
        <w:t xml:space="preserve"> assigned to MTE and </w:t>
      </w:r>
      <w:r w:rsidR="008F5A33" w:rsidRPr="006314C9">
        <w:rPr>
          <w:rFonts w:cs="Times New Roman"/>
          <w:lang w:val="en-GB"/>
        </w:rPr>
        <w:t>the State Technical and Industrial Inspectorate (ISHTI) within MIE</w:t>
      </w:r>
      <w:r w:rsidRPr="006314C9">
        <w:rPr>
          <w:rFonts w:cs="Times New Roman"/>
          <w:lang w:val="en-GB"/>
        </w:rPr>
        <w:t>.</w:t>
      </w:r>
      <w:r w:rsidR="00A83334" w:rsidRPr="006314C9">
        <w:rPr>
          <w:rFonts w:cs="Times New Roman"/>
          <w:lang w:val="en-GB"/>
        </w:rPr>
        <w:t xml:space="preserve"> </w:t>
      </w:r>
      <w:proofErr w:type="gramStart"/>
      <w:r w:rsidR="00A83334" w:rsidRPr="006314C9">
        <w:rPr>
          <w:rFonts w:cs="Times New Roman"/>
          <w:lang w:val="en-GB"/>
        </w:rPr>
        <w:t>However still clarification of competences is needed with MTE and MIE.</w:t>
      </w:r>
      <w:proofErr w:type="gramEnd"/>
      <w:r w:rsidRPr="006314C9">
        <w:rPr>
          <w:rFonts w:cs="Times New Roman"/>
          <w:lang w:val="en-GB"/>
        </w:rPr>
        <w:t xml:space="preserve"> The assessment of national liquid fuel consumption </w:t>
      </w:r>
      <w:proofErr w:type="spellStart"/>
      <w:r w:rsidR="00C3298E" w:rsidRPr="006314C9">
        <w:rPr>
          <w:rFonts w:cs="Times New Roman"/>
          <w:lang w:val="en-GB"/>
        </w:rPr>
        <w:t>is</w:t>
      </w:r>
      <w:r w:rsidRPr="006314C9">
        <w:rPr>
          <w:rFonts w:cs="Times New Roman"/>
          <w:lang w:val="en-GB"/>
        </w:rPr>
        <w:t>be</w:t>
      </w:r>
      <w:r w:rsidR="00C3298E" w:rsidRPr="006314C9">
        <w:rPr>
          <w:rFonts w:cs="Times New Roman"/>
          <w:lang w:val="en-GB"/>
        </w:rPr>
        <w:t>ing</w:t>
      </w:r>
      <w:proofErr w:type="spellEnd"/>
      <w:r w:rsidRPr="006314C9">
        <w:rPr>
          <w:rFonts w:cs="Times New Roman"/>
          <w:lang w:val="en-GB"/>
        </w:rPr>
        <w:t xml:space="preserve"> carried out during the preparation of energy balance on yearly bases. A sampling system for fuels is in place (based on the Order of the Minister of Infrastructure and Energy </w:t>
      </w:r>
      <w:r w:rsidR="00C3298E" w:rsidRPr="006314C9">
        <w:rPr>
          <w:rFonts w:cs="Times New Roman"/>
          <w:lang w:val="en-GB"/>
        </w:rPr>
        <w:t>No</w:t>
      </w:r>
      <w:r w:rsidRPr="006314C9">
        <w:rPr>
          <w:rFonts w:cs="Times New Roman"/>
          <w:lang w:val="en-GB"/>
        </w:rPr>
        <w:t>. 6, dated 09.01.2015 “On the control of technical standards of fuel oil and its by-products, procedures and relevant tariffs”), but not yet for marine fuels. I</w:t>
      </w:r>
      <w:r w:rsidRPr="006314C9">
        <w:rPr>
          <w:rFonts w:cs="Times New Roman"/>
          <w:color w:val="1D2228"/>
          <w:lang w:val="en-GB"/>
        </w:rPr>
        <w:t xml:space="preserve">t is not allowed to use </w:t>
      </w:r>
      <w:r w:rsidRPr="006314C9">
        <w:rPr>
          <w:rFonts w:cs="Times New Roman"/>
          <w:lang w:val="en-GB"/>
        </w:rPr>
        <w:t xml:space="preserve">heavy fuel oil with </w:t>
      </w:r>
      <w:proofErr w:type="gramStart"/>
      <w:r w:rsidRPr="006314C9">
        <w:rPr>
          <w:rFonts w:cs="Times New Roman"/>
          <w:lang w:val="en-GB"/>
        </w:rPr>
        <w:t>a sulphur</w:t>
      </w:r>
      <w:proofErr w:type="gramEnd"/>
      <w:r w:rsidRPr="006314C9">
        <w:rPr>
          <w:rFonts w:cs="Times New Roman"/>
          <w:lang w:val="en-GB"/>
        </w:rPr>
        <w:t xml:space="preserve"> content greater than 1%</w:t>
      </w:r>
      <w:r w:rsidR="00FA52B8" w:rsidRPr="006314C9">
        <w:rPr>
          <w:rFonts w:cs="Times New Roman"/>
          <w:lang w:val="en-GB"/>
        </w:rPr>
        <w:t xml:space="preserve"> in Albania</w:t>
      </w:r>
      <w:r w:rsidRPr="006314C9">
        <w:rPr>
          <w:rFonts w:cs="Times New Roman"/>
          <w:color w:val="1D2228"/>
          <w:lang w:val="en-GB"/>
        </w:rPr>
        <w:t>.</w:t>
      </w:r>
    </w:p>
    <w:p w:rsidR="002B3BF3" w:rsidRPr="006314C9" w:rsidRDefault="00A83334" w:rsidP="00152F5E">
      <w:pPr>
        <w:shd w:val="clear" w:color="auto" w:fill="FFFFFF"/>
        <w:spacing w:after="0"/>
        <w:rPr>
          <w:rFonts w:cs="Times New Roman"/>
          <w:lang w:val="en-GB"/>
        </w:rPr>
      </w:pPr>
      <w:r w:rsidRPr="006314C9">
        <w:rPr>
          <w:rFonts w:cs="Times New Roman"/>
          <w:i/>
          <w:lang w:val="en-GB"/>
        </w:rPr>
        <w:t>Directive</w:t>
      </w:r>
      <w:r w:rsidR="00521A8F" w:rsidRPr="006314C9">
        <w:rPr>
          <w:rFonts w:cs="Times New Roman"/>
          <w:i/>
          <w:lang w:val="en-GB"/>
        </w:rPr>
        <w:t xml:space="preserve"> on </w:t>
      </w:r>
      <w:proofErr w:type="spellStart"/>
      <w:r w:rsidR="00521A8F" w:rsidRPr="006314C9">
        <w:rPr>
          <w:rFonts w:cs="Times New Roman"/>
          <w:i/>
          <w:lang w:val="en-GB"/>
        </w:rPr>
        <w:t>VOCpetrol</w:t>
      </w:r>
      <w:proofErr w:type="spellEnd"/>
      <w:r w:rsidR="00521A8F" w:rsidRPr="006314C9">
        <w:rPr>
          <w:rFonts w:cs="Times New Roman"/>
          <w:lang w:val="en-GB"/>
        </w:rPr>
        <w:t xml:space="preserve"> (Stage I Directive 94/63/EC and </w:t>
      </w:r>
      <w:r w:rsidR="00521A8F" w:rsidRPr="006314C9">
        <w:rPr>
          <w:rFonts w:cs="Times New Roman"/>
          <w:i/>
          <w:lang w:val="en-GB"/>
        </w:rPr>
        <w:t xml:space="preserve">Stage II </w:t>
      </w:r>
      <w:r w:rsidRPr="006314C9">
        <w:rPr>
          <w:rFonts w:cs="Times New Roman"/>
          <w:i/>
          <w:lang w:val="en-GB"/>
        </w:rPr>
        <w:t xml:space="preserve">VOCs petrol </w:t>
      </w:r>
      <w:r w:rsidR="00521A8F" w:rsidRPr="006314C9">
        <w:rPr>
          <w:rFonts w:cs="Times New Roman"/>
          <w:i/>
          <w:lang w:val="en-GB"/>
        </w:rPr>
        <w:t>Directive</w:t>
      </w:r>
      <w:r w:rsidR="00521A8F" w:rsidRPr="006314C9">
        <w:rPr>
          <w:rFonts w:eastAsia="Times New Roman" w:cs="Times New Roman"/>
          <w:lang w:val="en-GB"/>
        </w:rPr>
        <w:t>2009/126/EC) </w:t>
      </w:r>
      <w:r w:rsidR="00521A8F" w:rsidRPr="006314C9">
        <w:rPr>
          <w:rFonts w:cs="Times New Roman"/>
          <w:lang w:val="en-GB"/>
        </w:rPr>
        <w:t>are</w:t>
      </w:r>
      <w:r w:rsidR="007D2E53" w:rsidRPr="006314C9">
        <w:rPr>
          <w:rFonts w:cs="Times New Roman"/>
          <w:lang w:val="en-GB"/>
        </w:rPr>
        <w:t xml:space="preserve"> not implemented.</w:t>
      </w:r>
      <w:r w:rsidR="00521A8F" w:rsidRPr="006314C9">
        <w:rPr>
          <w:rFonts w:cs="Times New Roman"/>
          <w:lang w:val="en-GB"/>
        </w:rPr>
        <w:t xml:space="preserve"> There is no any assessment of technical conditions for the existing installations</w:t>
      </w:r>
      <w:r w:rsidR="007D2E53" w:rsidRPr="006314C9">
        <w:rPr>
          <w:rFonts w:cs="Times New Roman"/>
          <w:lang w:val="en-GB"/>
        </w:rPr>
        <w:t xml:space="preserve"> (petrol </w:t>
      </w:r>
      <w:r w:rsidR="00021BF9" w:rsidRPr="006314C9">
        <w:rPr>
          <w:rFonts w:cs="Times New Roman"/>
          <w:lang w:val="en-GB"/>
        </w:rPr>
        <w:t>stations, petrol storage</w:t>
      </w:r>
      <w:r w:rsidR="00FA52B8" w:rsidRPr="006314C9">
        <w:rPr>
          <w:rFonts w:cs="Times New Roman"/>
          <w:lang w:val="en-GB"/>
        </w:rPr>
        <w:t xml:space="preserve"> facilities</w:t>
      </w:r>
      <w:r w:rsidR="007D2E53" w:rsidRPr="006314C9">
        <w:rPr>
          <w:rFonts w:cs="Times New Roman"/>
          <w:lang w:val="en-GB"/>
        </w:rPr>
        <w:t xml:space="preserve"> and transportation equipment)</w:t>
      </w:r>
      <w:r w:rsidR="00521A8F" w:rsidRPr="006314C9">
        <w:rPr>
          <w:rFonts w:cs="Times New Roman"/>
          <w:lang w:val="en-GB"/>
        </w:rPr>
        <w:t xml:space="preserve">, no data if they are complying with the standards and no program </w:t>
      </w:r>
      <w:r w:rsidR="007D2E53" w:rsidRPr="006314C9">
        <w:rPr>
          <w:rFonts w:cs="Times New Roman"/>
          <w:lang w:val="en-GB"/>
        </w:rPr>
        <w:t xml:space="preserve">is </w:t>
      </w:r>
      <w:r w:rsidR="00521A8F" w:rsidRPr="006314C9">
        <w:rPr>
          <w:rFonts w:cs="Times New Roman"/>
          <w:lang w:val="en-GB"/>
        </w:rPr>
        <w:t xml:space="preserve">in place </w:t>
      </w:r>
      <w:r w:rsidR="007D2E53" w:rsidRPr="006314C9">
        <w:rPr>
          <w:rFonts w:cs="Times New Roman"/>
          <w:lang w:val="en-GB"/>
        </w:rPr>
        <w:t xml:space="preserve">for </w:t>
      </w:r>
      <w:r w:rsidR="00521A8F" w:rsidRPr="006314C9">
        <w:rPr>
          <w:rFonts w:cs="Times New Roman"/>
          <w:lang w:val="en-GB"/>
        </w:rPr>
        <w:t xml:space="preserve">upgrading installations to ensure compliance with technical requirements of the Directives. There is a need for preparation of DSIPs for these two directives considering the current </w:t>
      </w:r>
      <w:r w:rsidR="00926B81" w:rsidRPr="006314C9">
        <w:rPr>
          <w:rFonts w:cs="Times New Roman"/>
          <w:lang w:val="en-GB"/>
        </w:rPr>
        <w:t>situation</w:t>
      </w:r>
      <w:r w:rsidR="00521A8F" w:rsidRPr="006314C9">
        <w:rPr>
          <w:rFonts w:cs="Times New Roman"/>
          <w:lang w:val="en-GB"/>
        </w:rPr>
        <w:t>.</w:t>
      </w:r>
    </w:p>
    <w:p w:rsidR="00521A8F" w:rsidRPr="006314C9" w:rsidRDefault="00521A8F" w:rsidP="00152F5E">
      <w:pPr>
        <w:spacing w:after="0"/>
        <w:rPr>
          <w:rFonts w:cs="Times New Roman"/>
          <w:lang w:val="en-GB"/>
        </w:rPr>
      </w:pPr>
      <w:r w:rsidRPr="006314C9">
        <w:rPr>
          <w:rFonts w:cs="Times New Roman"/>
          <w:b/>
          <w:lang w:val="en-GB"/>
        </w:rPr>
        <w:t>Administrative capacity</w:t>
      </w:r>
    </w:p>
    <w:p w:rsidR="00521A8F" w:rsidRPr="006314C9" w:rsidRDefault="00521A8F" w:rsidP="00152F5E">
      <w:pPr>
        <w:rPr>
          <w:rFonts w:cs="Times New Roman"/>
          <w:lang w:val="en-GB"/>
        </w:rPr>
      </w:pPr>
      <w:r w:rsidRPr="006314C9">
        <w:rPr>
          <w:rFonts w:cs="Times New Roman"/>
          <w:lang w:val="en-GB"/>
        </w:rPr>
        <w:t>The Ministry of Tourism and Environment (MTE) and National Environmental Agency (NEA) have a dominant responsibility for the Air Quality sub-chapter. Another important institution is the Ministry of Infrastructure and Energy (MIE) related to petrol quality control and VOC control from petrol terminals/service stations and adjustment with environmental standards. Both subordinate structures of the MTE and MIE, respectively State Inspectorate of Environment, Forests, Water and Tourism (SIEFWT) and State Technical and Industrial Inspectorate (STII) are important to</w:t>
      </w:r>
      <w:r w:rsidR="00C3298E" w:rsidRPr="006314C9">
        <w:rPr>
          <w:rFonts w:cs="Times New Roman"/>
          <w:lang w:val="en-GB"/>
        </w:rPr>
        <w:t xml:space="preserve"> enforce requirements in this area. </w:t>
      </w:r>
      <w:r w:rsidRPr="006314C9">
        <w:rPr>
          <w:rFonts w:cs="Times New Roman"/>
          <w:lang w:val="en-GB"/>
        </w:rPr>
        <w:t xml:space="preserve">Furthermore other ministries responsible for agriculture, health, finance, Institute of Public Health </w:t>
      </w:r>
      <w:r w:rsidR="00926B81" w:rsidRPr="006314C9">
        <w:rPr>
          <w:rFonts w:cs="Times New Roman"/>
          <w:lang w:val="en-GB"/>
        </w:rPr>
        <w:t>and</w:t>
      </w:r>
      <w:r w:rsidRPr="006314C9">
        <w:rPr>
          <w:rFonts w:cs="Times New Roman"/>
          <w:lang w:val="en-GB"/>
        </w:rPr>
        <w:t xml:space="preserve"> local government units</w:t>
      </w:r>
      <w:r w:rsidR="00A92B0C" w:rsidRPr="006314C9">
        <w:rPr>
          <w:rFonts w:cs="Times New Roman"/>
          <w:lang w:val="en-GB"/>
        </w:rPr>
        <w:t xml:space="preserve"> have responsibility in implementation</w:t>
      </w:r>
      <w:r w:rsidRPr="006314C9">
        <w:rPr>
          <w:rFonts w:cs="Times New Roman"/>
          <w:lang w:val="en-GB"/>
        </w:rPr>
        <w:t>.</w:t>
      </w:r>
    </w:p>
    <w:p w:rsidR="00521A8F" w:rsidRPr="006314C9" w:rsidRDefault="00521A8F" w:rsidP="00152F5E">
      <w:pPr>
        <w:rPr>
          <w:rFonts w:cs="Times New Roman"/>
          <w:lang w:val="en-GB"/>
        </w:rPr>
      </w:pPr>
      <w:r w:rsidRPr="006314C9">
        <w:rPr>
          <w:rFonts w:cs="Times New Roman"/>
          <w:lang w:val="en-GB"/>
        </w:rPr>
        <w:t>There is a n</w:t>
      </w:r>
      <w:r w:rsidRPr="006314C9">
        <w:rPr>
          <w:rFonts w:eastAsia="Times New Roman" w:cs="Times New Roman"/>
          <w:lang w:val="en-GB"/>
        </w:rPr>
        <w:t>eed to increase the administrative capacity</w:t>
      </w:r>
      <w:r w:rsidRPr="006314C9">
        <w:rPr>
          <w:rFonts w:cs="Times New Roman"/>
          <w:lang w:val="en-GB"/>
        </w:rPr>
        <w:t xml:space="preserve"> (institutional arrangements, institutional strengthening and capacity building) in order </w:t>
      </w:r>
      <w:r w:rsidRPr="006314C9">
        <w:rPr>
          <w:rFonts w:cs="Times New Roman"/>
          <w:bCs/>
          <w:lang w:val="en-GB"/>
        </w:rPr>
        <w:t xml:space="preserve">to assume the responsibilities: </w:t>
      </w:r>
      <w:r w:rsidRPr="006314C9">
        <w:rPr>
          <w:rFonts w:cs="Times New Roman"/>
          <w:lang w:val="en-GB"/>
        </w:rPr>
        <w:t xml:space="preserve">MTE (human capacities); NEA (structure &amp; human capacities, equipment); Institute for Public Health (technical capacity). MTE </w:t>
      </w:r>
      <w:r w:rsidR="00926B81" w:rsidRPr="006314C9">
        <w:rPr>
          <w:rFonts w:cs="Times New Roman"/>
          <w:lang w:val="en-GB"/>
        </w:rPr>
        <w:lastRenderedPageBreak/>
        <w:t xml:space="preserve">need to </w:t>
      </w:r>
      <w:r w:rsidRPr="006314C9">
        <w:rPr>
          <w:rFonts w:cs="Times New Roman"/>
          <w:lang w:val="en-GB"/>
        </w:rPr>
        <w:t xml:space="preserve">increase the number of staff, develop mechanisms to improve coordination among </w:t>
      </w:r>
      <w:proofErr w:type="spellStart"/>
      <w:r w:rsidR="006E0C5B" w:rsidRPr="006314C9">
        <w:rPr>
          <w:rFonts w:cs="Times New Roman"/>
          <w:lang w:val="en-GB"/>
        </w:rPr>
        <w:t>institutions</w:t>
      </w:r>
      <w:r w:rsidRPr="006314C9">
        <w:rPr>
          <w:rFonts w:cs="Times New Roman"/>
          <w:lang w:val="en-GB"/>
        </w:rPr>
        <w:t>responsible</w:t>
      </w:r>
      <w:proofErr w:type="spellEnd"/>
      <w:r w:rsidRPr="006314C9">
        <w:rPr>
          <w:rFonts w:cs="Times New Roman"/>
          <w:lang w:val="en-GB"/>
        </w:rPr>
        <w:t xml:space="preserve"> for environmental monitoring and increase their efficiency, ensure functioning of the integrated environmental management system</w:t>
      </w:r>
      <w:r w:rsidR="00A92B0C" w:rsidRPr="006314C9">
        <w:rPr>
          <w:rFonts w:cs="Times New Roman"/>
          <w:lang w:val="en-GB"/>
        </w:rPr>
        <w:t xml:space="preserve">, </w:t>
      </w:r>
      <w:r w:rsidR="006E0C5B" w:rsidRPr="006314C9">
        <w:rPr>
          <w:rFonts w:cs="Times New Roman"/>
          <w:lang w:val="en-GB"/>
        </w:rPr>
        <w:t xml:space="preserve">support relevant </w:t>
      </w:r>
      <w:r w:rsidRPr="006314C9">
        <w:rPr>
          <w:rFonts w:cs="Times New Roman"/>
          <w:lang w:val="en-GB"/>
        </w:rPr>
        <w:t>databases and improve access to information, especially regarding air quality data, and make near-real-time data available to the public.</w:t>
      </w:r>
    </w:p>
    <w:p w:rsidR="00521A8F" w:rsidRPr="006314C9" w:rsidRDefault="00521A8F" w:rsidP="00152F5E">
      <w:pPr>
        <w:shd w:val="clear" w:color="auto" w:fill="FFFFFF"/>
        <w:spacing w:after="0"/>
        <w:rPr>
          <w:rFonts w:eastAsia="Times New Roman" w:cs="Times New Roman"/>
          <w:lang w:val="en-GB"/>
        </w:rPr>
      </w:pPr>
      <w:r w:rsidRPr="006314C9">
        <w:rPr>
          <w:rFonts w:eastAsia="Times New Roman" w:cs="Times New Roman"/>
          <w:lang w:val="en-GB"/>
        </w:rPr>
        <w:t xml:space="preserve">Capacity building/strengthening </w:t>
      </w:r>
      <w:r w:rsidR="006E0C5B" w:rsidRPr="006314C9">
        <w:rPr>
          <w:rFonts w:eastAsia="Times New Roman" w:cs="Times New Roman"/>
          <w:lang w:val="en-GB"/>
        </w:rPr>
        <w:t>measures for relevant institutions would include</w:t>
      </w:r>
      <w:r w:rsidRPr="006314C9">
        <w:rPr>
          <w:rFonts w:eastAsia="Times New Roman" w:cs="Times New Roman"/>
          <w:lang w:val="en-GB"/>
        </w:rPr>
        <w:t xml:space="preserve">: </w:t>
      </w:r>
    </w:p>
    <w:p w:rsidR="00521A8F" w:rsidRPr="006314C9" w:rsidRDefault="00521A8F" w:rsidP="006E0C5B">
      <w:pPr>
        <w:pStyle w:val="ListParagraph"/>
        <w:numPr>
          <w:ilvl w:val="0"/>
          <w:numId w:val="9"/>
        </w:numPr>
        <w:spacing w:after="0"/>
        <w:ind w:left="270" w:hanging="270"/>
        <w:rPr>
          <w:rFonts w:eastAsia="Times New Roman" w:cs="Times New Roman"/>
          <w:lang w:val="en-GB"/>
        </w:rPr>
      </w:pPr>
      <w:r w:rsidRPr="006314C9">
        <w:rPr>
          <w:rFonts w:eastAsia="Times New Roman" w:cs="Times New Roman"/>
          <w:lang w:val="en-GB"/>
        </w:rPr>
        <w:t xml:space="preserve">MTE and NEA, </w:t>
      </w:r>
      <w:proofErr w:type="spellStart"/>
      <w:r w:rsidRPr="006314C9">
        <w:rPr>
          <w:rFonts w:eastAsia="Times New Roman" w:cs="Times New Roman"/>
          <w:lang w:val="en-GB"/>
        </w:rPr>
        <w:t>onhow</w:t>
      </w:r>
      <w:proofErr w:type="spellEnd"/>
      <w:r w:rsidRPr="006314C9">
        <w:rPr>
          <w:rFonts w:eastAsia="Times New Roman" w:cs="Times New Roman"/>
          <w:lang w:val="en-GB"/>
        </w:rPr>
        <w:t xml:space="preserve"> to prepare annual emission projections and how to determine the figures for national emission ceilings; how to calculate air emissions, needed to improve the national emission inventory; QA/QC to check the quality of data; how to report on national emission inventories. </w:t>
      </w:r>
    </w:p>
    <w:p w:rsidR="00521A8F" w:rsidRPr="006314C9" w:rsidRDefault="00521A8F" w:rsidP="00152F5E">
      <w:pPr>
        <w:pStyle w:val="ListParagraph"/>
        <w:numPr>
          <w:ilvl w:val="0"/>
          <w:numId w:val="9"/>
        </w:numPr>
        <w:spacing w:after="0"/>
        <w:ind w:left="270" w:hanging="270"/>
        <w:rPr>
          <w:rFonts w:eastAsia="Times New Roman" w:cs="Times New Roman"/>
          <w:lang w:val="en-GB"/>
        </w:rPr>
      </w:pPr>
      <w:r w:rsidRPr="006314C9">
        <w:rPr>
          <w:rFonts w:cs="Times New Roman"/>
          <w:lang w:val="en-GB"/>
        </w:rPr>
        <w:t xml:space="preserve">MTE, MIE, NEA/REAs, SIEFWT and STII to be able to comply with the obligations of the VOC Petrol I and II Directives, especially acquiring of additional experience on VOC petrol recovery requirements. </w:t>
      </w:r>
    </w:p>
    <w:p w:rsidR="00521A8F" w:rsidRPr="006314C9" w:rsidRDefault="00521A8F" w:rsidP="00152F5E">
      <w:pPr>
        <w:pStyle w:val="ListParagraph"/>
        <w:numPr>
          <w:ilvl w:val="0"/>
          <w:numId w:val="9"/>
        </w:numPr>
        <w:spacing w:after="0"/>
        <w:ind w:left="270" w:hanging="270"/>
        <w:rPr>
          <w:rFonts w:eastAsia="Times New Roman" w:cs="Times New Roman"/>
          <w:lang w:val="en-GB"/>
        </w:rPr>
      </w:pPr>
      <w:r w:rsidRPr="006314C9">
        <w:rPr>
          <w:rFonts w:cs="Times New Roman"/>
          <w:lang w:val="en-GB"/>
        </w:rPr>
        <w:t>State Inspector</w:t>
      </w:r>
      <w:r w:rsidR="007D2E53" w:rsidRPr="006314C9">
        <w:rPr>
          <w:rFonts w:cs="Times New Roman"/>
          <w:lang w:val="en-GB"/>
        </w:rPr>
        <w:t>s</w:t>
      </w:r>
      <w:r w:rsidRPr="006314C9">
        <w:rPr>
          <w:rFonts w:cs="Times New Roman"/>
          <w:lang w:val="en-GB"/>
        </w:rPr>
        <w:t xml:space="preserve"> f</w:t>
      </w:r>
      <w:r w:rsidR="007D2E53" w:rsidRPr="006314C9">
        <w:rPr>
          <w:rFonts w:cs="Times New Roman"/>
          <w:lang w:val="en-GB"/>
        </w:rPr>
        <w:t>or</w:t>
      </w:r>
      <w:r w:rsidRPr="006314C9">
        <w:rPr>
          <w:rFonts w:cs="Times New Roman"/>
          <w:lang w:val="en-GB"/>
        </w:rPr>
        <w:t xml:space="preserve"> Environment (part of the SIEFWT), to perform emission measurement from stationary sources, and the strengthening of operating organizations in the field. </w:t>
      </w:r>
    </w:p>
    <w:p w:rsidR="00521A8F" w:rsidRPr="006314C9" w:rsidRDefault="00521A8F" w:rsidP="00152F5E">
      <w:pPr>
        <w:pStyle w:val="ListParagraph"/>
        <w:numPr>
          <w:ilvl w:val="0"/>
          <w:numId w:val="9"/>
        </w:numPr>
        <w:spacing w:after="0"/>
        <w:ind w:left="270" w:hanging="270"/>
        <w:rPr>
          <w:rFonts w:eastAsia="Times New Roman" w:cs="Times New Roman"/>
          <w:lang w:val="en-GB"/>
        </w:rPr>
      </w:pPr>
      <w:r w:rsidRPr="006314C9">
        <w:rPr>
          <w:rFonts w:cs="Times New Roman"/>
          <w:lang w:val="en-GB"/>
        </w:rPr>
        <w:t>STII to be able to comply with the obligations of the Sulphur Directive, especially acquiring of additional experience regarding the control and inspection of marine fuel</w:t>
      </w:r>
      <w:r w:rsidR="007D2E53" w:rsidRPr="006314C9">
        <w:rPr>
          <w:rFonts w:cs="Times New Roman"/>
          <w:lang w:val="en-GB"/>
        </w:rPr>
        <w:t>, and to take measure to secure technical compliance of the petrol station, petrol storage and transport facilities</w:t>
      </w:r>
      <w:r w:rsidRPr="006314C9">
        <w:rPr>
          <w:rFonts w:cs="Times New Roman"/>
          <w:lang w:val="en-GB"/>
        </w:rPr>
        <w:t>.</w:t>
      </w:r>
    </w:p>
    <w:p w:rsidR="00521A8F" w:rsidRPr="006314C9" w:rsidRDefault="002F0A16" w:rsidP="00894462">
      <w:pPr>
        <w:rPr>
          <w:b/>
          <w:lang w:val="en-GB"/>
        </w:rPr>
      </w:pPr>
      <w:r w:rsidRPr="006314C9">
        <w:rPr>
          <w:b/>
          <w:lang w:val="en-GB"/>
        </w:rPr>
        <w:t xml:space="preserve">Summary </w:t>
      </w:r>
    </w:p>
    <w:tbl>
      <w:tblPr>
        <w:tblStyle w:val="TableGrid"/>
        <w:tblW w:w="5000" w:type="pct"/>
        <w:tblLook w:val="04A0"/>
      </w:tblPr>
      <w:tblGrid>
        <w:gridCol w:w="2393"/>
        <w:gridCol w:w="2395"/>
        <w:gridCol w:w="2393"/>
        <w:gridCol w:w="2395"/>
      </w:tblGrid>
      <w:tr w:rsidR="00521A8F" w:rsidRPr="006314C9" w:rsidTr="00FF25EA">
        <w:tc>
          <w:tcPr>
            <w:tcW w:w="2393" w:type="dxa"/>
          </w:tcPr>
          <w:p w:rsidR="00521A8F" w:rsidRPr="006314C9" w:rsidRDefault="002F0A16" w:rsidP="00750C45">
            <w:pPr>
              <w:spacing w:beforeLines="60" w:afterLines="60"/>
              <w:contextualSpacing/>
              <w:jc w:val="center"/>
              <w:rPr>
                <w:rFonts w:cs="Times New Roman"/>
                <w:b/>
                <w:sz w:val="20"/>
                <w:szCs w:val="20"/>
                <w:lang w:val="en-GB"/>
              </w:rPr>
            </w:pPr>
            <w:r w:rsidRPr="006314C9">
              <w:rPr>
                <w:rFonts w:cs="Times New Roman"/>
                <w:b/>
                <w:sz w:val="20"/>
                <w:szCs w:val="20"/>
                <w:lang w:val="en-GB"/>
              </w:rPr>
              <w:t>Directive/regulation</w:t>
            </w:r>
          </w:p>
        </w:tc>
        <w:tc>
          <w:tcPr>
            <w:tcW w:w="2395" w:type="dxa"/>
          </w:tcPr>
          <w:p w:rsidR="00590337" w:rsidRPr="006314C9" w:rsidRDefault="002F0A16" w:rsidP="00750C45">
            <w:pPr>
              <w:spacing w:beforeLines="60" w:afterLines="60"/>
              <w:contextualSpacing/>
              <w:jc w:val="center"/>
              <w:rPr>
                <w:rFonts w:cs="Times New Roman"/>
                <w:b/>
                <w:sz w:val="20"/>
                <w:szCs w:val="20"/>
                <w:lang w:val="en-GB"/>
              </w:rPr>
            </w:pPr>
            <w:r w:rsidRPr="006314C9">
              <w:rPr>
                <w:rFonts w:cs="Times New Roman"/>
                <w:b/>
                <w:sz w:val="20"/>
                <w:szCs w:val="20"/>
                <w:lang w:val="en-GB"/>
              </w:rPr>
              <w:t>Main competent authority</w:t>
            </w:r>
          </w:p>
        </w:tc>
        <w:tc>
          <w:tcPr>
            <w:tcW w:w="2393" w:type="dxa"/>
          </w:tcPr>
          <w:p w:rsidR="00590337" w:rsidRPr="006314C9" w:rsidRDefault="002F0A16" w:rsidP="00750C45">
            <w:pPr>
              <w:spacing w:beforeLines="60" w:afterLines="60"/>
              <w:contextualSpacing/>
              <w:jc w:val="center"/>
              <w:rPr>
                <w:rFonts w:cs="Times New Roman"/>
                <w:b/>
                <w:sz w:val="20"/>
                <w:szCs w:val="20"/>
                <w:lang w:val="en-GB"/>
              </w:rPr>
            </w:pPr>
            <w:r w:rsidRPr="006314C9">
              <w:rPr>
                <w:rFonts w:cs="Times New Roman"/>
                <w:b/>
                <w:sz w:val="20"/>
                <w:szCs w:val="20"/>
                <w:lang w:val="en-GB"/>
              </w:rPr>
              <w:t>Level of transposition</w:t>
            </w:r>
          </w:p>
        </w:tc>
        <w:tc>
          <w:tcPr>
            <w:tcW w:w="2395" w:type="dxa"/>
          </w:tcPr>
          <w:p w:rsidR="001970C3" w:rsidRPr="006314C9" w:rsidRDefault="002F0A16" w:rsidP="00750C45">
            <w:pPr>
              <w:spacing w:beforeLines="60" w:afterLines="60"/>
              <w:contextualSpacing/>
              <w:jc w:val="center"/>
              <w:rPr>
                <w:rFonts w:cs="Times New Roman"/>
                <w:b/>
                <w:sz w:val="20"/>
                <w:szCs w:val="20"/>
                <w:lang w:val="en-GB"/>
              </w:rPr>
            </w:pPr>
            <w:r w:rsidRPr="006314C9">
              <w:rPr>
                <w:rFonts w:cs="Times New Roman"/>
                <w:b/>
                <w:sz w:val="20"/>
                <w:szCs w:val="20"/>
                <w:lang w:val="en-GB"/>
              </w:rPr>
              <w:t>Level of implementation</w:t>
            </w:r>
          </w:p>
        </w:tc>
      </w:tr>
      <w:tr w:rsidR="00521A8F" w:rsidRPr="006314C9" w:rsidTr="00FF25EA">
        <w:tc>
          <w:tcPr>
            <w:tcW w:w="2393" w:type="dxa"/>
          </w:tcPr>
          <w:p w:rsidR="00521A8F" w:rsidRPr="006314C9" w:rsidRDefault="002F0A16" w:rsidP="00750C45">
            <w:pPr>
              <w:spacing w:beforeLines="60" w:afterLines="60"/>
              <w:contextualSpacing/>
              <w:rPr>
                <w:rFonts w:cs="Times New Roman"/>
                <w:sz w:val="20"/>
                <w:szCs w:val="20"/>
                <w:lang w:val="en-GB"/>
              </w:rPr>
            </w:pPr>
            <w:r w:rsidRPr="006314C9">
              <w:rPr>
                <w:rFonts w:cs="Times New Roman"/>
                <w:sz w:val="20"/>
                <w:szCs w:val="20"/>
                <w:lang w:val="en-GB"/>
              </w:rPr>
              <w:t>2008/50/EC</w:t>
            </w:r>
          </w:p>
          <w:p w:rsidR="00590337" w:rsidRPr="006314C9" w:rsidRDefault="002F0A16" w:rsidP="00750C45">
            <w:pPr>
              <w:spacing w:beforeLines="60" w:afterLines="60"/>
              <w:contextualSpacing/>
              <w:rPr>
                <w:rFonts w:cs="Times New Roman"/>
                <w:sz w:val="20"/>
                <w:szCs w:val="20"/>
                <w:lang w:val="en-GB"/>
              </w:rPr>
            </w:pPr>
            <w:r w:rsidRPr="006314C9">
              <w:rPr>
                <w:rFonts w:cs="Times New Roman"/>
                <w:b/>
                <w:sz w:val="20"/>
                <w:szCs w:val="20"/>
                <w:lang w:val="en-GB"/>
              </w:rPr>
              <w:t>AAQ</w:t>
            </w:r>
          </w:p>
        </w:tc>
        <w:tc>
          <w:tcPr>
            <w:tcW w:w="2395"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tc>
        <w:tc>
          <w:tcPr>
            <w:tcW w:w="2393"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Advanced;</w:t>
            </w:r>
          </w:p>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96% </w:t>
            </w:r>
          </w:p>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(Except for the amendments that have to be done in line with the Directive (EU) 2015/1480)</w:t>
            </w:r>
          </w:p>
        </w:tc>
        <w:tc>
          <w:tcPr>
            <w:tcW w:w="2395"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tc>
      </w:tr>
      <w:tr w:rsidR="00521A8F" w:rsidRPr="006314C9" w:rsidTr="00FF25EA">
        <w:tc>
          <w:tcPr>
            <w:tcW w:w="2393" w:type="dxa"/>
          </w:tcPr>
          <w:p w:rsidR="00362049" w:rsidRPr="006314C9" w:rsidRDefault="002F0A16" w:rsidP="00750C45">
            <w:pPr>
              <w:spacing w:beforeLines="60" w:afterLines="60"/>
              <w:contextualSpacing/>
              <w:rPr>
                <w:rFonts w:eastAsia="Times New Roman" w:cs="Times New Roman"/>
                <w:sz w:val="20"/>
                <w:szCs w:val="20"/>
                <w:shd w:val="clear" w:color="auto" w:fill="FFFFFF"/>
                <w:lang w:val="en-GB"/>
              </w:rPr>
            </w:pPr>
            <w:r w:rsidRPr="006314C9">
              <w:rPr>
                <w:rFonts w:eastAsia="Times New Roman" w:cs="Times New Roman"/>
                <w:sz w:val="20"/>
                <w:szCs w:val="20"/>
                <w:shd w:val="clear" w:color="auto" w:fill="FFFFFF"/>
                <w:lang w:val="en-GB"/>
              </w:rPr>
              <w:t>2016/2284/EC</w:t>
            </w:r>
          </w:p>
          <w:p w:rsidR="00590337" w:rsidRPr="006314C9" w:rsidRDefault="002F0A16" w:rsidP="00750C45">
            <w:pPr>
              <w:spacing w:beforeLines="60" w:afterLines="60"/>
              <w:contextualSpacing/>
              <w:rPr>
                <w:rFonts w:cs="Times New Roman"/>
                <w:sz w:val="20"/>
                <w:szCs w:val="20"/>
                <w:lang w:val="en-GB"/>
              </w:rPr>
            </w:pPr>
            <w:r w:rsidRPr="006314C9">
              <w:rPr>
                <w:rFonts w:eastAsia="Times New Roman" w:cs="Times New Roman"/>
                <w:b/>
                <w:sz w:val="20"/>
                <w:szCs w:val="20"/>
                <w:shd w:val="clear" w:color="auto" w:fill="FFFFFF"/>
                <w:lang w:val="en-GB"/>
              </w:rPr>
              <w:t>NEC</w:t>
            </w:r>
          </w:p>
        </w:tc>
        <w:tc>
          <w:tcPr>
            <w:tcW w:w="2395"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MTE </w:t>
            </w:r>
          </w:p>
        </w:tc>
        <w:tc>
          <w:tcPr>
            <w:tcW w:w="2393"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p w:rsidR="001970C3" w:rsidRPr="006314C9" w:rsidRDefault="00D62A22"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20 </w:t>
            </w:r>
            <w:r w:rsidR="002F0A16" w:rsidRPr="006314C9">
              <w:rPr>
                <w:rFonts w:cs="Times New Roman"/>
                <w:sz w:val="20"/>
                <w:szCs w:val="20"/>
                <w:lang w:val="en-GB"/>
              </w:rPr>
              <w:t xml:space="preserve">% </w:t>
            </w:r>
          </w:p>
        </w:tc>
        <w:tc>
          <w:tcPr>
            <w:tcW w:w="2395"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Initial stage </w:t>
            </w:r>
          </w:p>
        </w:tc>
      </w:tr>
      <w:tr w:rsidR="00521A8F" w:rsidRPr="006314C9" w:rsidTr="00FF25EA">
        <w:tc>
          <w:tcPr>
            <w:tcW w:w="2393" w:type="dxa"/>
          </w:tcPr>
          <w:p w:rsidR="00362049" w:rsidRPr="006314C9" w:rsidRDefault="002F0A16" w:rsidP="00750C45">
            <w:pPr>
              <w:spacing w:beforeLines="60" w:afterLines="60"/>
              <w:contextualSpacing/>
              <w:rPr>
                <w:rFonts w:eastAsia="Times New Roman" w:cs="Times New Roman"/>
                <w:bCs/>
                <w:sz w:val="20"/>
                <w:szCs w:val="20"/>
                <w:shd w:val="clear" w:color="auto" w:fill="FFFFFF"/>
                <w:lang w:val="en-GB"/>
              </w:rPr>
            </w:pPr>
            <w:r w:rsidRPr="006314C9">
              <w:rPr>
                <w:rFonts w:eastAsia="Times New Roman" w:cs="Times New Roman"/>
                <w:bCs/>
                <w:sz w:val="20"/>
                <w:szCs w:val="20"/>
                <w:shd w:val="clear" w:color="auto" w:fill="FFFFFF"/>
                <w:lang w:val="en-GB"/>
              </w:rPr>
              <w:t>2016/802 /EC</w:t>
            </w:r>
          </w:p>
          <w:p w:rsidR="00590337" w:rsidRPr="006314C9" w:rsidRDefault="002F0A16" w:rsidP="00750C45">
            <w:pPr>
              <w:spacing w:beforeLines="60" w:afterLines="60"/>
              <w:contextualSpacing/>
              <w:rPr>
                <w:rFonts w:cs="Times New Roman"/>
                <w:sz w:val="20"/>
                <w:szCs w:val="20"/>
                <w:lang w:val="en-GB"/>
              </w:rPr>
            </w:pPr>
            <w:r w:rsidRPr="006314C9">
              <w:rPr>
                <w:rFonts w:eastAsia="Times New Roman" w:cs="Times New Roman"/>
                <w:b/>
                <w:bCs/>
                <w:sz w:val="20"/>
                <w:szCs w:val="20"/>
                <w:shd w:val="clear" w:color="auto" w:fill="FFFFFF"/>
                <w:lang w:val="en-GB"/>
              </w:rPr>
              <w:t xml:space="preserve">Sulphur content </w:t>
            </w:r>
          </w:p>
        </w:tc>
        <w:tc>
          <w:tcPr>
            <w:tcW w:w="2395"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Ministry of Infrastructure and Energy (MIE)</w:t>
            </w:r>
            <w:r w:rsidR="00FF25EA" w:rsidRPr="006314C9">
              <w:rPr>
                <w:rFonts w:cs="Times New Roman"/>
                <w:sz w:val="20"/>
                <w:szCs w:val="20"/>
                <w:lang w:val="en-GB"/>
              </w:rPr>
              <w:t xml:space="preserve"> or MTE (not complete determinate)</w:t>
            </w:r>
          </w:p>
        </w:tc>
        <w:tc>
          <w:tcPr>
            <w:tcW w:w="2393"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18%</w:t>
            </w:r>
          </w:p>
        </w:tc>
        <w:tc>
          <w:tcPr>
            <w:tcW w:w="2395"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p w:rsidR="001970C3" w:rsidRPr="006314C9" w:rsidRDefault="001970C3" w:rsidP="00750C45">
            <w:pPr>
              <w:spacing w:beforeLines="60" w:afterLines="60"/>
              <w:contextualSpacing/>
              <w:rPr>
                <w:rFonts w:cs="Times New Roman"/>
                <w:sz w:val="20"/>
                <w:szCs w:val="20"/>
                <w:lang w:val="en-GB"/>
              </w:rPr>
            </w:pPr>
          </w:p>
        </w:tc>
      </w:tr>
      <w:tr w:rsidR="00521A8F" w:rsidRPr="006314C9" w:rsidTr="00FF25EA">
        <w:tc>
          <w:tcPr>
            <w:tcW w:w="2393" w:type="dxa"/>
          </w:tcPr>
          <w:p w:rsidR="00362049" w:rsidRPr="006314C9" w:rsidRDefault="002F0A16" w:rsidP="00750C45">
            <w:pPr>
              <w:spacing w:beforeLines="60" w:afterLines="60"/>
              <w:contextualSpacing/>
              <w:rPr>
                <w:rFonts w:cs="Times New Roman"/>
                <w:sz w:val="20"/>
                <w:szCs w:val="20"/>
                <w:lang w:val="en-GB"/>
              </w:rPr>
            </w:pPr>
            <w:r w:rsidRPr="006314C9">
              <w:rPr>
                <w:rFonts w:cs="Times New Roman"/>
                <w:sz w:val="20"/>
                <w:szCs w:val="20"/>
                <w:lang w:val="en-GB"/>
              </w:rPr>
              <w:t>94/63/EC</w:t>
            </w:r>
          </w:p>
          <w:p w:rsidR="00590337" w:rsidRPr="006314C9" w:rsidRDefault="002F0A16" w:rsidP="00750C45">
            <w:pPr>
              <w:spacing w:beforeLines="60" w:afterLines="60"/>
              <w:contextualSpacing/>
              <w:rPr>
                <w:rFonts w:cs="Times New Roman"/>
                <w:sz w:val="20"/>
                <w:szCs w:val="20"/>
                <w:lang w:val="en-GB"/>
              </w:rPr>
            </w:pPr>
            <w:r w:rsidRPr="006314C9">
              <w:rPr>
                <w:rFonts w:cs="Times New Roman"/>
                <w:b/>
                <w:i/>
                <w:sz w:val="20"/>
                <w:szCs w:val="20"/>
                <w:lang w:val="en-GB"/>
              </w:rPr>
              <w:t>VOCs petrol</w:t>
            </w:r>
          </w:p>
        </w:tc>
        <w:tc>
          <w:tcPr>
            <w:tcW w:w="2395"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MTE </w:t>
            </w:r>
            <w:r w:rsidR="00FF25EA" w:rsidRPr="006314C9">
              <w:rPr>
                <w:rFonts w:cs="Times New Roman"/>
                <w:sz w:val="20"/>
                <w:szCs w:val="20"/>
                <w:lang w:val="en-GB"/>
              </w:rPr>
              <w:t xml:space="preserve">or MIE (not completely determinate) </w:t>
            </w:r>
          </w:p>
        </w:tc>
        <w:tc>
          <w:tcPr>
            <w:tcW w:w="2393"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Fully transposed </w:t>
            </w:r>
          </w:p>
        </w:tc>
        <w:tc>
          <w:tcPr>
            <w:tcW w:w="2395"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Initial stage </w:t>
            </w:r>
          </w:p>
        </w:tc>
      </w:tr>
      <w:tr w:rsidR="00FF25EA" w:rsidRPr="006314C9" w:rsidTr="00FF25EA">
        <w:tc>
          <w:tcPr>
            <w:tcW w:w="2393" w:type="dxa"/>
          </w:tcPr>
          <w:p w:rsidR="00FF25EA" w:rsidRPr="006314C9" w:rsidRDefault="00FF25EA" w:rsidP="00750C45">
            <w:pPr>
              <w:shd w:val="clear" w:color="auto" w:fill="FFFFFF"/>
              <w:spacing w:beforeLines="60" w:afterLines="60"/>
              <w:contextualSpacing/>
              <w:jc w:val="left"/>
              <w:rPr>
                <w:rFonts w:eastAsia="Times New Roman" w:cs="Times New Roman"/>
                <w:sz w:val="20"/>
                <w:szCs w:val="20"/>
                <w:lang w:val="en-GB"/>
              </w:rPr>
            </w:pPr>
            <w:r w:rsidRPr="006314C9">
              <w:rPr>
                <w:rFonts w:eastAsia="Times New Roman" w:cs="Times New Roman"/>
                <w:sz w:val="20"/>
                <w:szCs w:val="20"/>
                <w:lang w:val="en-GB"/>
              </w:rPr>
              <w:t>2009/126/EC</w:t>
            </w:r>
          </w:p>
          <w:p w:rsidR="00FF25EA" w:rsidRPr="006314C9" w:rsidRDefault="00FF25EA" w:rsidP="00750C45">
            <w:pPr>
              <w:shd w:val="clear" w:color="auto" w:fill="FFFFFF"/>
              <w:spacing w:beforeLines="60" w:afterLines="60"/>
              <w:contextualSpacing/>
              <w:jc w:val="left"/>
              <w:rPr>
                <w:rFonts w:eastAsia="Times New Roman" w:cs="Times New Roman"/>
                <w:sz w:val="20"/>
                <w:szCs w:val="20"/>
                <w:lang w:val="en-GB"/>
              </w:rPr>
            </w:pPr>
            <w:r w:rsidRPr="006314C9">
              <w:rPr>
                <w:rFonts w:eastAsia="Times New Roman" w:cs="Times New Roman"/>
                <w:b/>
                <w:i/>
                <w:sz w:val="20"/>
                <w:szCs w:val="20"/>
                <w:lang w:val="en-GB"/>
              </w:rPr>
              <w:t>Stage II VOCs petrol</w:t>
            </w:r>
          </w:p>
        </w:tc>
        <w:tc>
          <w:tcPr>
            <w:tcW w:w="2395" w:type="dxa"/>
          </w:tcPr>
          <w:p w:rsidR="00FF25EA" w:rsidRPr="006314C9" w:rsidRDefault="00FF25EA" w:rsidP="00750C45">
            <w:pPr>
              <w:spacing w:beforeLines="60" w:afterLines="60"/>
              <w:contextualSpacing/>
              <w:rPr>
                <w:rFonts w:cs="Times New Roman"/>
                <w:sz w:val="20"/>
                <w:szCs w:val="20"/>
                <w:lang w:val="en-GB"/>
              </w:rPr>
            </w:pPr>
            <w:r w:rsidRPr="006314C9">
              <w:rPr>
                <w:rFonts w:cs="Times New Roman"/>
                <w:sz w:val="20"/>
                <w:szCs w:val="20"/>
                <w:lang w:val="en-GB"/>
              </w:rPr>
              <w:t xml:space="preserve">MTE or MIE (not completely determinate) </w:t>
            </w:r>
          </w:p>
        </w:tc>
        <w:tc>
          <w:tcPr>
            <w:tcW w:w="2393" w:type="dxa"/>
          </w:tcPr>
          <w:p w:rsidR="00FF25EA" w:rsidRPr="006314C9" w:rsidRDefault="00FF25EA" w:rsidP="00750C45">
            <w:pPr>
              <w:widowControl w:val="0"/>
              <w:autoSpaceDE w:val="0"/>
              <w:autoSpaceDN w:val="0"/>
              <w:adjustRightInd w:val="0"/>
              <w:spacing w:beforeLines="60" w:afterLines="60"/>
              <w:contextualSpacing/>
              <w:rPr>
                <w:rFonts w:cs="Times New Roman"/>
                <w:sz w:val="20"/>
                <w:szCs w:val="20"/>
                <w:lang w:val="en-GB"/>
              </w:rPr>
            </w:pPr>
            <w:r w:rsidRPr="006314C9">
              <w:rPr>
                <w:rFonts w:cs="Times New Roman"/>
                <w:sz w:val="20"/>
                <w:szCs w:val="20"/>
                <w:lang w:val="en-GB"/>
              </w:rPr>
              <w:t>Fully transposed</w:t>
            </w:r>
          </w:p>
        </w:tc>
        <w:tc>
          <w:tcPr>
            <w:tcW w:w="2395" w:type="dxa"/>
          </w:tcPr>
          <w:p w:rsidR="00FF25EA" w:rsidRPr="006314C9" w:rsidRDefault="00FF25EA"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Initial stage </w:t>
            </w:r>
          </w:p>
        </w:tc>
      </w:tr>
    </w:tbl>
    <w:p w:rsidR="00590337" w:rsidRPr="006314C9" w:rsidRDefault="00590337">
      <w:pPr>
        <w:rPr>
          <w:lang w:val="en-GB"/>
        </w:rPr>
      </w:pPr>
    </w:p>
    <w:p w:rsidR="008E39DA" w:rsidRPr="006314C9" w:rsidRDefault="008E39DA" w:rsidP="008E39DA">
      <w:pPr>
        <w:pStyle w:val="Heading1"/>
        <w:numPr>
          <w:ilvl w:val="0"/>
          <w:numId w:val="0"/>
        </w:numPr>
        <w:ind w:left="720" w:hanging="360"/>
        <w:jc w:val="center"/>
        <w:rPr>
          <w:rFonts w:cs="Times New Roman"/>
          <w:szCs w:val="22"/>
          <w:lang w:val="en-GB"/>
        </w:rPr>
      </w:pPr>
      <w:bookmarkStart w:id="16" w:name="_Toc24031510"/>
      <w:r w:rsidRPr="006314C9">
        <w:rPr>
          <w:rFonts w:cs="Times New Roman"/>
          <w:szCs w:val="22"/>
          <w:lang w:val="en-GB"/>
        </w:rPr>
        <w:t>Sub Chapter: Waste management</w:t>
      </w:r>
      <w:bookmarkEnd w:id="16"/>
    </w:p>
    <w:p w:rsidR="008E39DA" w:rsidRPr="006314C9" w:rsidRDefault="008E39DA" w:rsidP="008E39DA">
      <w:pPr>
        <w:rPr>
          <w:rFonts w:cs="Times New Roman"/>
          <w:lang w:val="en-GB"/>
        </w:rPr>
      </w:pPr>
      <w:r w:rsidRPr="006314C9">
        <w:rPr>
          <w:rFonts w:cs="Times New Roman"/>
          <w:b/>
          <w:lang w:val="en-GB"/>
        </w:rPr>
        <w:t>Background information</w:t>
      </w:r>
    </w:p>
    <w:p w:rsidR="008E39DA" w:rsidRPr="006314C9" w:rsidRDefault="008E39DA" w:rsidP="008E39DA">
      <w:pPr>
        <w:rPr>
          <w:rFonts w:cs="Times New Roman"/>
          <w:lang w:val="en-GB"/>
        </w:rPr>
      </w:pPr>
      <w:r w:rsidRPr="006314C9">
        <w:rPr>
          <w:rFonts w:cs="Times New Roman"/>
          <w:lang w:val="en-GB"/>
        </w:rPr>
        <w:t xml:space="preserve">The sub-chapter of Waste is composed of 13 pieces of legislation, comprising 10 directives and 3 regulations. The main directive, which frames the whole subchapter on </w:t>
      </w:r>
      <w:proofErr w:type="gramStart"/>
      <w:r w:rsidRPr="006314C9">
        <w:rPr>
          <w:rFonts w:cs="Times New Roman"/>
          <w:lang w:val="en-GB"/>
        </w:rPr>
        <w:t>waste</w:t>
      </w:r>
      <w:proofErr w:type="gramEnd"/>
      <w:r w:rsidRPr="006314C9">
        <w:rPr>
          <w:rFonts w:cs="Times New Roman"/>
          <w:lang w:val="en-GB"/>
        </w:rPr>
        <w:t xml:space="preserve"> is Directive 2008/98/EC ‘</w:t>
      </w:r>
      <w:r w:rsidRPr="006314C9">
        <w:rPr>
          <w:rFonts w:cs="Times New Roman"/>
          <w:i/>
          <w:iCs/>
          <w:lang w:val="en-GB"/>
        </w:rPr>
        <w:t>on Waste</w:t>
      </w:r>
      <w:r w:rsidRPr="006314C9">
        <w:rPr>
          <w:rFonts w:cs="Times New Roman"/>
          <w:lang w:val="en-GB"/>
        </w:rPr>
        <w:t xml:space="preserve">’. It establishes a legal framework for managing waste in the EU to protect </w:t>
      </w:r>
      <w:proofErr w:type="spellStart"/>
      <w:r w:rsidRPr="006314C9">
        <w:rPr>
          <w:rFonts w:cs="Times New Roman"/>
          <w:lang w:val="en-GB"/>
        </w:rPr>
        <w:t>theenvironment</w:t>
      </w:r>
      <w:proofErr w:type="spellEnd"/>
      <w:r w:rsidRPr="006314C9">
        <w:rPr>
          <w:rFonts w:cs="Times New Roman"/>
          <w:lang w:val="en-GB"/>
        </w:rPr>
        <w:t xml:space="preserve"> and human health by emphasizing the importance of proper waste management, introducing a waste hierarchy, recovery and recycling techniques to reduce pressure on resources and improve their use, without putting any risk to water, air, soil, plants or animals, without causing a nuisance through noise or smells, or harming the countryside or places of special interest. Several principles on waste management, as ‘polluter pays principle’, the ‘extended producer responsibility’, and the end-of-waste status and distinction between waste and by-products, followed by sets of targets for recycling and recovery for </w:t>
      </w:r>
      <w:r w:rsidRPr="006314C9">
        <w:rPr>
          <w:rFonts w:cs="Times New Roman"/>
          <w:lang w:val="en-GB"/>
        </w:rPr>
        <w:lastRenderedPageBreak/>
        <w:t xml:space="preserve">household waste and C&amp;D waste and special conditions to hazardous waste, waste oils and bio-waste management are some of the main tools introduced in the Waste Directive. </w:t>
      </w:r>
    </w:p>
    <w:p w:rsidR="008E39DA" w:rsidRPr="006314C9" w:rsidRDefault="008E39DA" w:rsidP="008E39DA">
      <w:pPr>
        <w:spacing w:before="60" w:after="60"/>
        <w:rPr>
          <w:rFonts w:eastAsia="Times New Roman" w:cs="Times New Roman"/>
          <w:lang w:val="en-GB"/>
        </w:rPr>
      </w:pPr>
      <w:r w:rsidRPr="006314C9">
        <w:rPr>
          <w:rFonts w:eastAsia="Times New Roman" w:cs="Times New Roman"/>
          <w:lang w:val="en-GB"/>
        </w:rPr>
        <w:t xml:space="preserve">Following the main requirements of the Waste Framework Directives, other directives and regulations on specific waste streams introduce targets and tools to be followed by MS toward the implementation of an integrated waste management system: </w:t>
      </w:r>
    </w:p>
    <w:p w:rsidR="008E39DA" w:rsidRPr="006314C9" w:rsidRDefault="008E39DA" w:rsidP="008E39DA">
      <w:pPr>
        <w:pStyle w:val="ListParagraph"/>
        <w:numPr>
          <w:ilvl w:val="0"/>
          <w:numId w:val="1"/>
        </w:numPr>
        <w:rPr>
          <w:rFonts w:cs="Times New Roman"/>
          <w:lang w:val="en-GB"/>
        </w:rPr>
      </w:pPr>
      <w:r w:rsidRPr="006314C9">
        <w:rPr>
          <w:rFonts w:cs="Times New Roman"/>
          <w:lang w:val="en-GB"/>
        </w:rPr>
        <w:t>Directive 94/62/EC ‘</w:t>
      </w:r>
      <w:r w:rsidRPr="006314C9">
        <w:rPr>
          <w:rFonts w:cs="Times New Roman"/>
          <w:i/>
          <w:iCs/>
          <w:lang w:val="en-GB"/>
        </w:rPr>
        <w:t>on packaging and packaging waste</w:t>
      </w:r>
      <w:r w:rsidRPr="006314C9">
        <w:rPr>
          <w:rFonts w:cs="Times New Roman"/>
          <w:lang w:val="en-GB"/>
        </w:rPr>
        <w:t>’ establishes targets for recovery and recycling of packaging waste and promotes economic instruments to achieve these targets, requires establishing systems for the return/collection of such waste, requirements for the packaging prior being placed on the market, a data base on packaging and waste from packaging, and a mechanism to provide information for users;</w:t>
      </w:r>
    </w:p>
    <w:p w:rsidR="008E39DA" w:rsidRPr="006314C9" w:rsidRDefault="008E39DA" w:rsidP="008E39DA">
      <w:pPr>
        <w:pStyle w:val="ListParagraph"/>
        <w:numPr>
          <w:ilvl w:val="0"/>
          <w:numId w:val="1"/>
        </w:numPr>
        <w:rPr>
          <w:rFonts w:cs="Times New Roman"/>
          <w:lang w:val="en-GB"/>
        </w:rPr>
      </w:pPr>
      <w:r w:rsidRPr="006314C9">
        <w:rPr>
          <w:rFonts w:cs="Times New Roman"/>
          <w:lang w:val="en-GB"/>
        </w:rPr>
        <w:t>Directive 2006/66/EC ‘</w:t>
      </w:r>
      <w:r w:rsidRPr="006314C9">
        <w:rPr>
          <w:rFonts w:cs="Times New Roman"/>
          <w:i/>
          <w:iCs/>
          <w:lang w:val="en-GB"/>
        </w:rPr>
        <w:t>on batteries and accumulators and waste batteries and accumulators</w:t>
      </w:r>
      <w:r w:rsidRPr="006314C9">
        <w:rPr>
          <w:rFonts w:cs="Times New Roman"/>
          <w:lang w:val="en-GB"/>
        </w:rPr>
        <w:t>’ and Directive 2000/53/EC ‘</w:t>
      </w:r>
      <w:r w:rsidRPr="006314C9">
        <w:rPr>
          <w:rFonts w:cs="Times New Roman"/>
          <w:i/>
          <w:iCs/>
          <w:lang w:val="en-GB"/>
        </w:rPr>
        <w:t>on end-of-life vehicles</w:t>
      </w:r>
      <w:r w:rsidRPr="006314C9">
        <w:rPr>
          <w:rFonts w:cs="Times New Roman"/>
          <w:lang w:val="en-GB"/>
        </w:rPr>
        <w:t>’ specifically promote protection, preservation and improvement of environmental quality through minimizing negative impact of batteries and accumulators, their waste and end-of life- vehicles, through prohibiting the placing on the market of portable batteries and accumulators, whether incorporated into appliances or not that contain cadmium (more than 0.002% of cadmium by weight) and mercury (more than 0.0005% of mercury by weight). Both directives set reuse, recovery and recycling targets and monitoring schemes of such targets, measures to encourage reuse/recycling;</w:t>
      </w:r>
    </w:p>
    <w:p w:rsidR="008E39DA" w:rsidRPr="006314C9" w:rsidRDefault="008E39DA" w:rsidP="008E39DA">
      <w:pPr>
        <w:pStyle w:val="ListParagraph"/>
        <w:numPr>
          <w:ilvl w:val="0"/>
          <w:numId w:val="1"/>
        </w:numPr>
        <w:rPr>
          <w:rFonts w:cs="Times New Roman"/>
          <w:lang w:val="en-GB"/>
        </w:rPr>
      </w:pPr>
      <w:r w:rsidRPr="006314C9">
        <w:rPr>
          <w:rFonts w:cs="Times New Roman"/>
          <w:lang w:val="en-GB"/>
        </w:rPr>
        <w:t xml:space="preserve">Directive 2012/19/EU on </w:t>
      </w:r>
      <w:r w:rsidRPr="006314C9">
        <w:rPr>
          <w:rFonts w:cs="Times New Roman"/>
          <w:i/>
          <w:iCs/>
          <w:lang w:val="en-GB"/>
        </w:rPr>
        <w:t>WEEE</w:t>
      </w:r>
      <w:r w:rsidRPr="006314C9">
        <w:rPr>
          <w:rFonts w:cs="Times New Roman"/>
          <w:lang w:val="en-GB"/>
        </w:rPr>
        <w:t xml:space="preserve"> and Directive 2011/65/EU ‘</w:t>
      </w:r>
      <w:r w:rsidRPr="006314C9">
        <w:rPr>
          <w:rFonts w:cs="Times New Roman"/>
          <w:i/>
          <w:iCs/>
          <w:lang w:val="en-GB"/>
        </w:rPr>
        <w:t>on the restriction of the use of certain hazardous substances in electrical and electronic equipment</w:t>
      </w:r>
      <w:r w:rsidRPr="006314C9">
        <w:rPr>
          <w:rFonts w:cs="Times New Roman"/>
          <w:lang w:val="en-GB"/>
        </w:rPr>
        <w:t>’ establish a system for the separate collection of WEEE and restriction of the use of certain hazardous substances of EEE, lead, mercury, cadmium and chrome VI by setting targets for collection and recovery, a permitting system for treatment of WEEE and financing system for management of WEEE;</w:t>
      </w:r>
    </w:p>
    <w:p w:rsidR="008E39DA" w:rsidRPr="006314C9" w:rsidRDefault="008E39DA" w:rsidP="008E39DA">
      <w:pPr>
        <w:pStyle w:val="ListParagraph"/>
        <w:numPr>
          <w:ilvl w:val="0"/>
          <w:numId w:val="1"/>
        </w:numPr>
        <w:rPr>
          <w:rFonts w:cs="Times New Roman"/>
          <w:lang w:val="en-GB"/>
        </w:rPr>
      </w:pPr>
      <w:r w:rsidRPr="006314C9">
        <w:rPr>
          <w:rFonts w:cs="Times New Roman"/>
          <w:lang w:val="en-GB"/>
        </w:rPr>
        <w:t>Directive 2006/21/EC ‘</w:t>
      </w:r>
      <w:r w:rsidRPr="006314C9">
        <w:rPr>
          <w:rFonts w:cs="Times New Roman"/>
          <w:i/>
          <w:iCs/>
          <w:lang w:val="en-GB"/>
        </w:rPr>
        <w:t>on the management of waste from extractive industries</w:t>
      </w:r>
      <w:r w:rsidRPr="006314C9">
        <w:rPr>
          <w:rFonts w:cs="Times New Roman"/>
          <w:lang w:val="en-GB"/>
        </w:rPr>
        <w:t>’ provides measures, procedures and guidance to prevent or reduce, as far as possible, any adverse effects on the environment, and any potential risks to human health, as a result of the management of waste from the extractive industries;</w:t>
      </w:r>
    </w:p>
    <w:p w:rsidR="008E39DA" w:rsidRPr="006314C9" w:rsidRDefault="008E39DA" w:rsidP="008E39DA">
      <w:pPr>
        <w:pStyle w:val="ListParagraph"/>
        <w:numPr>
          <w:ilvl w:val="0"/>
          <w:numId w:val="1"/>
        </w:numPr>
        <w:rPr>
          <w:rFonts w:cs="Times New Roman"/>
          <w:lang w:val="en-GB"/>
        </w:rPr>
      </w:pPr>
      <w:r w:rsidRPr="006314C9">
        <w:rPr>
          <w:rFonts w:cs="Times New Roman"/>
          <w:lang w:val="en-GB"/>
        </w:rPr>
        <w:t>Regulation (EU) no 1257/2013 ‘</w:t>
      </w:r>
      <w:r w:rsidRPr="006314C9">
        <w:rPr>
          <w:rFonts w:cs="Times New Roman"/>
          <w:i/>
          <w:iCs/>
          <w:lang w:val="en-GB"/>
        </w:rPr>
        <w:t>on ship recycling</w:t>
      </w:r>
      <w:r w:rsidRPr="006314C9">
        <w:rPr>
          <w:rFonts w:cs="Times New Roman"/>
          <w:lang w:val="en-GB"/>
        </w:rPr>
        <w:t>’ aim to prevent, reduce, minimize and, to the extent practicable, eliminate accidents, injuries and other adverse effects on human health and the environment caused by ship recycling;</w:t>
      </w:r>
    </w:p>
    <w:p w:rsidR="008E39DA" w:rsidRPr="006314C9" w:rsidRDefault="008E39DA" w:rsidP="008E39DA">
      <w:pPr>
        <w:pStyle w:val="ListParagraph"/>
        <w:numPr>
          <w:ilvl w:val="0"/>
          <w:numId w:val="1"/>
        </w:numPr>
        <w:rPr>
          <w:rFonts w:cs="Times New Roman"/>
          <w:lang w:val="en-GB"/>
        </w:rPr>
      </w:pPr>
      <w:r w:rsidRPr="006314C9">
        <w:rPr>
          <w:rFonts w:cs="Times New Roman"/>
          <w:lang w:val="en-GB"/>
        </w:rPr>
        <w:t>Directive 86/278/EEC ‘</w:t>
      </w:r>
      <w:r w:rsidRPr="006314C9">
        <w:rPr>
          <w:rFonts w:cs="Times New Roman"/>
          <w:i/>
          <w:iCs/>
          <w:lang w:val="en-GB"/>
        </w:rPr>
        <w:t>on protection of environment when sewage sludge is used in agriculture</w:t>
      </w:r>
      <w:r w:rsidRPr="006314C9">
        <w:rPr>
          <w:rFonts w:cs="Times New Roman"/>
          <w:lang w:val="en-GB"/>
        </w:rPr>
        <w:t>’ establish certain initial measures in connection with soil protection; Regulate the use of sewage sludge in agriculture in such a way as to prevent harmful effects on soil, vegetation, animals and man, while encouraging its correct use;</w:t>
      </w:r>
    </w:p>
    <w:p w:rsidR="008E39DA" w:rsidRPr="006314C9" w:rsidRDefault="008E39DA" w:rsidP="008E39DA">
      <w:pPr>
        <w:pStyle w:val="ListParagraph"/>
        <w:numPr>
          <w:ilvl w:val="0"/>
          <w:numId w:val="1"/>
        </w:numPr>
        <w:rPr>
          <w:rFonts w:cs="Times New Roman"/>
          <w:lang w:val="en-GB"/>
        </w:rPr>
      </w:pPr>
      <w:r w:rsidRPr="006314C9">
        <w:rPr>
          <w:rFonts w:cs="Times New Roman"/>
          <w:lang w:val="en-GB"/>
        </w:rPr>
        <w:t>Directive 1999/31/EC ‘</w:t>
      </w:r>
      <w:r w:rsidRPr="006314C9">
        <w:rPr>
          <w:rFonts w:cs="Times New Roman"/>
          <w:i/>
          <w:iCs/>
          <w:lang w:val="en-GB"/>
        </w:rPr>
        <w:t>on the landfill</w:t>
      </w:r>
      <w:r w:rsidRPr="006314C9">
        <w:rPr>
          <w:rFonts w:cs="Times New Roman"/>
          <w:lang w:val="en-GB"/>
        </w:rPr>
        <w:t xml:space="preserve">’ of waste and Directive 2011/97/EU establish criteria and procedures for the acceptance of waste at landfills, provide measures, procedures and guidance to prevent or reduce as far as possible negative effects on the environment from </w:t>
      </w:r>
      <w:proofErr w:type="spellStart"/>
      <w:r w:rsidRPr="006314C9">
        <w:rPr>
          <w:rFonts w:cs="Times New Roman"/>
          <w:lang w:val="en-GB"/>
        </w:rPr>
        <w:t>landfilling</w:t>
      </w:r>
      <w:proofErr w:type="spellEnd"/>
      <w:r w:rsidRPr="006314C9">
        <w:rPr>
          <w:rFonts w:cs="Times New Roman"/>
          <w:lang w:val="en-GB"/>
        </w:rPr>
        <w:t xml:space="preserve"> of waste, during the whole life-cycle of the landfill;</w:t>
      </w:r>
    </w:p>
    <w:p w:rsidR="008E39DA" w:rsidRPr="006314C9" w:rsidRDefault="008E39DA" w:rsidP="008E39DA">
      <w:pPr>
        <w:pStyle w:val="ListParagraph"/>
        <w:numPr>
          <w:ilvl w:val="0"/>
          <w:numId w:val="1"/>
        </w:numPr>
        <w:rPr>
          <w:rFonts w:cs="Times New Roman"/>
          <w:lang w:val="en-GB"/>
        </w:rPr>
      </w:pPr>
      <w:r w:rsidRPr="006314C9">
        <w:rPr>
          <w:rFonts w:cs="Times New Roman"/>
          <w:lang w:val="en-GB"/>
        </w:rPr>
        <w:t>Regulation (EC) no. 1013/2006 on shipments of waste establishes procedures and control regimes for the shipment of waste, depending on the origin, destination and route of the shipment, the type of waste shipped and the type of treatment to be applied to the waste at its destination;</w:t>
      </w:r>
    </w:p>
    <w:p w:rsidR="008E39DA" w:rsidRPr="006314C9" w:rsidRDefault="008E39DA" w:rsidP="008E39DA">
      <w:pPr>
        <w:pStyle w:val="ListParagraph"/>
        <w:numPr>
          <w:ilvl w:val="0"/>
          <w:numId w:val="1"/>
        </w:numPr>
        <w:rPr>
          <w:rFonts w:cs="Times New Roman"/>
          <w:lang w:val="en-GB"/>
        </w:rPr>
      </w:pPr>
      <w:r w:rsidRPr="006314C9">
        <w:rPr>
          <w:rFonts w:cs="Times New Roman"/>
          <w:lang w:val="en-GB"/>
        </w:rPr>
        <w:t>Specific Directive 96/59/EC ‘</w:t>
      </w:r>
      <w:r w:rsidRPr="006314C9">
        <w:rPr>
          <w:rFonts w:cs="Times New Roman"/>
          <w:i/>
          <w:iCs/>
          <w:lang w:val="en-GB"/>
        </w:rPr>
        <w:t xml:space="preserve">on the disposal of polychlorinated biphenyls and polychlorinated </w:t>
      </w:r>
      <w:proofErr w:type="spellStart"/>
      <w:r w:rsidRPr="006314C9">
        <w:rPr>
          <w:rFonts w:cs="Times New Roman"/>
          <w:i/>
          <w:iCs/>
          <w:lang w:val="en-GB"/>
        </w:rPr>
        <w:t>terphenyls</w:t>
      </w:r>
      <w:proofErr w:type="spellEnd"/>
      <w:r w:rsidRPr="006314C9">
        <w:rPr>
          <w:rFonts w:cs="Times New Roman"/>
          <w:i/>
          <w:iCs/>
          <w:lang w:val="en-GB"/>
        </w:rPr>
        <w:t xml:space="preserve"> (PCB/PCT)</w:t>
      </w:r>
      <w:r w:rsidRPr="006314C9">
        <w:rPr>
          <w:rFonts w:cs="Times New Roman"/>
          <w:lang w:val="en-GB"/>
        </w:rPr>
        <w:t>’ aims to approximate the laws of the MS on the controlled disposal of PCBs, the decontamination or disposal of equipment containing PCBs and/or the disposal of used PCBs in order to eliminate them completely on the basis of the provisions of this Directive. Meanwhile Regulation (EC) no 850/2004 ‘</w:t>
      </w:r>
      <w:r w:rsidRPr="006314C9">
        <w:rPr>
          <w:rFonts w:cs="Times New Roman"/>
          <w:i/>
          <w:iCs/>
          <w:lang w:val="en-GB"/>
        </w:rPr>
        <w:t>on persistent organic pollutants</w:t>
      </w:r>
      <w:r w:rsidRPr="006314C9">
        <w:rPr>
          <w:rFonts w:cs="Times New Roman"/>
          <w:lang w:val="en-GB"/>
        </w:rPr>
        <w:t>’ provides precautionary principles to protect human health and the environment from persistent organic pollutants by prohibiting, phasing out as soon as possible, or restricting the production, placing on the market and use of substances.</w:t>
      </w:r>
    </w:p>
    <w:p w:rsidR="008E39DA" w:rsidRPr="006314C9" w:rsidRDefault="008E39DA" w:rsidP="008E39DA">
      <w:pPr>
        <w:rPr>
          <w:rFonts w:cs="Times New Roman"/>
          <w:lang w:val="en-GB"/>
        </w:rPr>
      </w:pPr>
      <w:r w:rsidRPr="006314C9">
        <w:rPr>
          <w:rFonts w:cs="Times New Roman"/>
          <w:b/>
          <w:lang w:val="en-GB"/>
        </w:rPr>
        <w:lastRenderedPageBreak/>
        <w:t>Transposition</w:t>
      </w:r>
    </w:p>
    <w:p w:rsidR="008E39DA" w:rsidRPr="006314C9" w:rsidRDefault="008E39DA" w:rsidP="008E39DA">
      <w:pPr>
        <w:rPr>
          <w:rFonts w:eastAsia="Times New Roman" w:cs="Times New Roman"/>
          <w:lang w:val="en-GB"/>
        </w:rPr>
      </w:pPr>
      <w:r w:rsidRPr="006314C9">
        <w:rPr>
          <w:rFonts w:cs="Times New Roman"/>
          <w:lang w:val="en-GB"/>
        </w:rPr>
        <w:t>All 13 Directives and regulations under the subchapter of waste have been transposed at different level, and only two of them have not been yet transposed (Directive 2011/65/EU ‘</w:t>
      </w:r>
      <w:r w:rsidRPr="006314C9">
        <w:rPr>
          <w:rFonts w:cs="Times New Roman"/>
          <w:i/>
          <w:iCs/>
          <w:lang w:val="en-GB"/>
        </w:rPr>
        <w:t>on the restriction of the use of certain hazardous substances in electrical and electronic equipment</w:t>
      </w:r>
      <w:r w:rsidRPr="006314C9">
        <w:rPr>
          <w:rFonts w:cs="Times New Roman"/>
          <w:lang w:val="en-GB"/>
        </w:rPr>
        <w:t xml:space="preserve">’ and </w:t>
      </w:r>
      <w:r w:rsidRPr="006314C9">
        <w:rPr>
          <w:rFonts w:eastAsia="Times New Roman" w:cs="Times New Roman"/>
          <w:lang w:val="en-GB"/>
        </w:rPr>
        <w:t>Regulation (EU) no 1257/2013 ‘</w:t>
      </w:r>
      <w:r w:rsidRPr="006314C9">
        <w:rPr>
          <w:rFonts w:eastAsia="Times New Roman" w:cs="Times New Roman"/>
          <w:i/>
          <w:iCs/>
          <w:lang w:val="en-GB"/>
        </w:rPr>
        <w:t>on ship recycling</w:t>
      </w:r>
      <w:r w:rsidRPr="006314C9">
        <w:rPr>
          <w:rFonts w:eastAsia="Times New Roman" w:cs="Times New Roman"/>
          <w:lang w:val="en-GB"/>
        </w:rPr>
        <w:t>’).</w:t>
      </w:r>
      <w:r w:rsidRPr="006314C9">
        <w:rPr>
          <w:rFonts w:cs="Times New Roman"/>
          <w:lang w:val="en-GB"/>
        </w:rPr>
        <w:t>Regulation (EC) no. 1013/2006 ‘</w:t>
      </w:r>
      <w:r w:rsidRPr="006314C9">
        <w:rPr>
          <w:rFonts w:cs="Times New Roman"/>
          <w:i/>
          <w:iCs/>
          <w:lang w:val="en-GB"/>
        </w:rPr>
        <w:t>on shipments of waste</w:t>
      </w:r>
      <w:r w:rsidRPr="006314C9">
        <w:rPr>
          <w:rFonts w:cs="Times New Roman"/>
          <w:lang w:val="en-GB"/>
        </w:rPr>
        <w:t xml:space="preserve">’ is at early phase of alignment(12%) in the following legal acts: </w:t>
      </w:r>
      <w:proofErr w:type="spellStart"/>
      <w:r w:rsidRPr="006314C9">
        <w:rPr>
          <w:rFonts w:cs="Times New Roman"/>
          <w:lang w:val="en-GB"/>
        </w:rPr>
        <w:t>i</w:t>
      </w:r>
      <w:proofErr w:type="spellEnd"/>
      <w:r w:rsidRPr="006314C9">
        <w:rPr>
          <w:rFonts w:cs="Times New Roman"/>
          <w:lang w:val="en-GB"/>
        </w:rPr>
        <w:t xml:space="preserve">) Law No. 10463, date 22.09.2011 “On Integrated Waste Management”, as amended; ii) Law No. 8216, of 13.5.1997 “on Adhering of the Republic of Albania to the Convention of Basel on the </w:t>
      </w:r>
      <w:proofErr w:type="spellStart"/>
      <w:r w:rsidRPr="006314C9">
        <w:rPr>
          <w:rFonts w:cs="Times New Roman"/>
          <w:lang w:val="en-GB"/>
        </w:rPr>
        <w:t>Transboundary</w:t>
      </w:r>
      <w:proofErr w:type="spellEnd"/>
      <w:r w:rsidRPr="006314C9">
        <w:rPr>
          <w:rFonts w:cs="Times New Roman"/>
          <w:lang w:val="en-GB"/>
        </w:rPr>
        <w:t xml:space="preserve"> Shipment Control of Hazardous Waste and their Treatment; iii) DCM no.641, dated 01.10.2014 “On approval of rules for waste export and non-hazardous waste or inert waste transit”; iv) DCM “On some additions and amendments on the DCM no.641, dated 01.10.2014 “On approval of rules for waste export and non-hazardous waste or inert waste transit”, no.94.  </w:t>
      </w:r>
    </w:p>
    <w:p w:rsidR="008E39DA" w:rsidRPr="006314C9" w:rsidRDefault="008E39DA" w:rsidP="008E39DA">
      <w:pPr>
        <w:rPr>
          <w:rFonts w:eastAsia="Times New Roman"/>
          <w:lang w:val="en-GB"/>
        </w:rPr>
      </w:pPr>
      <w:r w:rsidRPr="006314C9">
        <w:rPr>
          <w:rFonts w:eastAsia="Times New Roman"/>
          <w:lang w:val="en-GB"/>
        </w:rPr>
        <w:t xml:space="preserve">The main </w:t>
      </w:r>
      <w:r w:rsidRPr="006314C9">
        <w:rPr>
          <w:lang w:val="en-GB"/>
        </w:rPr>
        <w:t>Directive 2008/98/EC ‘</w:t>
      </w:r>
      <w:r w:rsidRPr="006314C9">
        <w:rPr>
          <w:i/>
          <w:iCs/>
          <w:lang w:val="en-GB"/>
        </w:rPr>
        <w:t>on Waste</w:t>
      </w:r>
      <w:r w:rsidRPr="006314C9">
        <w:rPr>
          <w:lang w:val="en-GB"/>
        </w:rPr>
        <w:t xml:space="preserve">’ has only been transposed partially up to 34% with these legal acts: </w:t>
      </w:r>
      <w:proofErr w:type="spellStart"/>
      <w:r w:rsidRPr="006314C9">
        <w:rPr>
          <w:lang w:val="en-GB"/>
        </w:rPr>
        <w:t>i</w:t>
      </w:r>
      <w:proofErr w:type="spellEnd"/>
      <w:r w:rsidRPr="006314C9">
        <w:rPr>
          <w:lang w:val="en-GB"/>
        </w:rPr>
        <w:t>) National Strategy and Plan for Waste Management approved by DCM No.175, date 19.01.2011 (under revision); ii) Law no.10 463, 22.09. 2011 “On integrated waste management” amended in 2013. Other Directives that follow the main one has made considerable progress on the transposition level, where Directive 1999/31/EC on the landfill of waste and directive 2011/97/EU ‘</w:t>
      </w:r>
      <w:r w:rsidRPr="006314C9">
        <w:rPr>
          <w:i/>
          <w:iCs/>
          <w:lang w:val="en-GB"/>
        </w:rPr>
        <w:t>on establishing criteria and procedures for the acceptance of waste at landfills</w:t>
      </w:r>
      <w:r w:rsidRPr="006314C9">
        <w:rPr>
          <w:lang w:val="en-GB"/>
        </w:rPr>
        <w:t xml:space="preserve">’ holds an advanced status of transposition (81%) based on this legal framework: </w:t>
      </w:r>
      <w:proofErr w:type="spellStart"/>
      <w:r w:rsidRPr="006314C9">
        <w:rPr>
          <w:lang w:val="en-GB"/>
        </w:rPr>
        <w:t>i</w:t>
      </w:r>
      <w:proofErr w:type="spellEnd"/>
      <w:r w:rsidRPr="006314C9">
        <w:rPr>
          <w:lang w:val="en-GB"/>
        </w:rPr>
        <w:t xml:space="preserve">) Law no.10 463, 22.09. </w:t>
      </w:r>
      <w:proofErr w:type="gramStart"/>
      <w:r w:rsidRPr="006314C9">
        <w:rPr>
          <w:lang w:val="en-GB"/>
        </w:rPr>
        <w:t>2011 “On integrated waste management” amended in 2013; ii) DCM No 452, dated 11.07.2012 “On landfills of waste”; iii) DCM no.389, dated 27.06.2018 “On some additions and amendments on the DCM no.452, dated 11.07.2012 “On landfills of waste”.</w:t>
      </w:r>
      <w:proofErr w:type="gramEnd"/>
      <w:r w:rsidRPr="006314C9">
        <w:rPr>
          <w:lang w:val="en-GB"/>
        </w:rPr>
        <w:t xml:space="preserve"> </w:t>
      </w:r>
      <w:r w:rsidRPr="006314C9">
        <w:rPr>
          <w:rFonts w:eastAsia="Times New Roman"/>
          <w:lang w:val="en-GB"/>
        </w:rPr>
        <w:t>Directive 94/62/EC ‘</w:t>
      </w:r>
      <w:r w:rsidRPr="006314C9">
        <w:rPr>
          <w:rFonts w:eastAsia="Times New Roman"/>
          <w:i/>
          <w:iCs/>
          <w:lang w:val="en-GB"/>
        </w:rPr>
        <w:t>on packaging and packaging waste</w:t>
      </w:r>
      <w:r w:rsidRPr="006314C9">
        <w:rPr>
          <w:rFonts w:eastAsia="Times New Roman"/>
          <w:lang w:val="en-GB"/>
        </w:rPr>
        <w:t xml:space="preserve">’ has 81% transposition level </w:t>
      </w:r>
      <w:r w:rsidRPr="006314C9">
        <w:rPr>
          <w:lang w:val="en-GB"/>
        </w:rPr>
        <w:t xml:space="preserve">based on these legal acts: </w:t>
      </w:r>
      <w:proofErr w:type="spellStart"/>
      <w:r w:rsidRPr="006314C9">
        <w:rPr>
          <w:lang w:val="en-GB"/>
        </w:rPr>
        <w:t>i</w:t>
      </w:r>
      <w:proofErr w:type="spellEnd"/>
      <w:r w:rsidRPr="006314C9">
        <w:rPr>
          <w:lang w:val="en-GB"/>
        </w:rPr>
        <w:t>) Law no. 10 463, date 22.09.2011 “On integrated waste management”, amended with Law no.156, date 10.10.2013; ii) DCM no. 177 of 6.3.2012 “On packaging and packaging waste”; iii) DCM No. 177 of 6.3.2012 “On Packaging and Packaging Waste”, amended with DCM 232 date 26.04.2018</w:t>
      </w:r>
      <w:r w:rsidRPr="006314C9">
        <w:rPr>
          <w:rFonts w:eastAsia="Times New Roman"/>
          <w:lang w:val="en-GB"/>
        </w:rPr>
        <w:t>.</w:t>
      </w:r>
      <w:r w:rsidRPr="006314C9">
        <w:rPr>
          <w:lang w:val="en-GB"/>
        </w:rPr>
        <w:t>Directive 2006/66/EC ‘</w:t>
      </w:r>
      <w:r w:rsidRPr="006314C9">
        <w:rPr>
          <w:i/>
          <w:iCs/>
          <w:lang w:val="en-GB"/>
        </w:rPr>
        <w:t>on batteries and accumulators and waste batteries and accumulators</w:t>
      </w:r>
      <w:r w:rsidRPr="006314C9">
        <w:rPr>
          <w:lang w:val="en-GB"/>
        </w:rPr>
        <w:t xml:space="preserve">’ has </w:t>
      </w:r>
      <w:r w:rsidRPr="006314C9">
        <w:rPr>
          <w:rFonts w:eastAsia="Times New Roman"/>
          <w:lang w:val="en-GB"/>
        </w:rPr>
        <w:t xml:space="preserve">82% transposition </w:t>
      </w:r>
      <w:r w:rsidRPr="006314C9">
        <w:rPr>
          <w:lang w:val="en-GB"/>
        </w:rPr>
        <w:t xml:space="preserve">based on these legal acts: </w:t>
      </w:r>
      <w:proofErr w:type="spellStart"/>
      <w:r w:rsidRPr="006314C9">
        <w:rPr>
          <w:lang w:val="en-GB"/>
        </w:rPr>
        <w:t>i</w:t>
      </w:r>
      <w:proofErr w:type="spellEnd"/>
      <w:r w:rsidRPr="006314C9">
        <w:rPr>
          <w:lang w:val="en-GB"/>
        </w:rPr>
        <w:t xml:space="preserve">) Law no. 10 463, date 22.09.2011 “On integrated waste management”, amended with Law no.156, date 10.10.2013; ii) DCM no. 866 “On batteries and accumulators and waste batteries and accumulators” and </w:t>
      </w:r>
      <w:r w:rsidRPr="006314C9">
        <w:rPr>
          <w:rFonts w:eastAsia="Times New Roman"/>
          <w:lang w:val="en-GB"/>
        </w:rPr>
        <w:t>Directive 2000/53/EC ‘</w:t>
      </w:r>
      <w:r w:rsidRPr="006314C9">
        <w:rPr>
          <w:rFonts w:eastAsia="Times New Roman"/>
          <w:i/>
          <w:iCs/>
          <w:lang w:val="en-GB"/>
        </w:rPr>
        <w:t>on end-of-life vehicle</w:t>
      </w:r>
      <w:r w:rsidRPr="006314C9">
        <w:rPr>
          <w:rFonts w:eastAsia="Times New Roman"/>
          <w:lang w:val="en-GB"/>
        </w:rPr>
        <w:t xml:space="preserve">s’ have an advanced level of transposition respectively   and 75% </w:t>
      </w:r>
      <w:r w:rsidRPr="006314C9">
        <w:rPr>
          <w:lang w:val="en-GB"/>
        </w:rPr>
        <w:t xml:space="preserve">based on these legal acts: </w:t>
      </w:r>
      <w:proofErr w:type="spellStart"/>
      <w:r w:rsidRPr="006314C9">
        <w:rPr>
          <w:lang w:val="en-GB"/>
        </w:rPr>
        <w:t>i</w:t>
      </w:r>
      <w:proofErr w:type="spellEnd"/>
      <w:r w:rsidRPr="006314C9">
        <w:rPr>
          <w:lang w:val="en-GB"/>
        </w:rPr>
        <w:t>) Law no. 10 463, date 22.09.2011 “On integrated waste management”, amended with Law no.156, date 10.10.2013; ii) DCM no. 705, “On management of waste by end of life vehicles”</w:t>
      </w:r>
      <w:r w:rsidRPr="006314C9">
        <w:rPr>
          <w:rFonts w:eastAsia="Times New Roman"/>
          <w:lang w:val="en-GB"/>
        </w:rPr>
        <w:t xml:space="preserve">. </w:t>
      </w:r>
    </w:p>
    <w:p w:rsidR="008E39DA" w:rsidRPr="006314C9" w:rsidRDefault="008E39DA" w:rsidP="008E39DA">
      <w:pPr>
        <w:rPr>
          <w:rFonts w:eastAsia="Times New Roman"/>
          <w:lang w:val="en-GB"/>
        </w:rPr>
      </w:pPr>
      <w:r w:rsidRPr="006314C9">
        <w:rPr>
          <w:rFonts w:eastAsia="Times New Roman"/>
          <w:lang w:val="en-GB"/>
        </w:rPr>
        <w:t>Only Directive 86/278/EEC ‘</w:t>
      </w:r>
      <w:r w:rsidRPr="006314C9">
        <w:rPr>
          <w:rFonts w:eastAsia="Times New Roman"/>
          <w:i/>
          <w:iCs/>
          <w:lang w:val="en-GB"/>
        </w:rPr>
        <w:t>on protection of environment when sewage sludge</w:t>
      </w:r>
      <w:r w:rsidRPr="006314C9">
        <w:rPr>
          <w:rFonts w:eastAsia="Times New Roman"/>
          <w:lang w:val="en-GB"/>
        </w:rPr>
        <w:t>’ is used in agriculture is fully transposed in the DCM 127, date 11/02/2015”For the requirements of using sewage sludge at agriculture”. For Directive 2012/19/EU on WEEE it is in early stage of transposition just having 38 % mostly related to general waste definition and rules. For the Directive 2006/21/EC</w:t>
      </w:r>
      <w:r w:rsidRPr="006314C9">
        <w:rPr>
          <w:lang w:val="en-GB"/>
        </w:rPr>
        <w:t xml:space="preserve"> ‘</w:t>
      </w:r>
      <w:r w:rsidRPr="006314C9">
        <w:rPr>
          <w:rFonts w:eastAsia="Times New Roman"/>
          <w:i/>
          <w:iCs/>
          <w:lang w:val="en-GB"/>
        </w:rPr>
        <w:t>on the management of waste from extractive industries</w:t>
      </w:r>
      <w:r w:rsidRPr="006314C9">
        <w:rPr>
          <w:rFonts w:eastAsia="Times New Roman"/>
          <w:lang w:val="en-GB"/>
        </w:rPr>
        <w:t xml:space="preserve">’ there is still work ahead toward transposition, as so far it is estimated that it is partially transposed, respectively 45% based on these main legal acts and document: Law No. 10304 of 15.7.2010, “on the Mining Sector in the Republic of Albania”, as amended, MO No. 302 of 12.4.2011 “on the Approval of basic principles for the establishment of environmental rehabilitation plan, closing plan of extractive activities, the determination of a dangerous area in a mining site and of the waste management plan”; MO No. 414 “on the Approval of the Model and Content of the Management Plan and the information kept by the operator related to the works, deposit, treatment and analysis of the extractive waste”; MO No. 383 of 20.05.2011 “on the Approval of the model and content of the Action Plan for the closing of the extracting activity”; MO No. 312 of 12.4.2011 “on the Approval of model and Content of Obligatory Information prepared by the possessor extractive industry permit”; DCM No. 479, date 29.6.2011 “On the approval of the Strategy on Mining in the Republic of Albania”. </w:t>
      </w:r>
    </w:p>
    <w:p w:rsidR="008E39DA" w:rsidRPr="006314C9" w:rsidRDefault="008E39DA" w:rsidP="008E39DA">
      <w:pPr>
        <w:rPr>
          <w:rFonts w:cs="Times New Roman"/>
          <w:lang w:val="en-GB"/>
        </w:rPr>
      </w:pPr>
      <w:r w:rsidRPr="006314C9">
        <w:rPr>
          <w:rFonts w:cs="Times New Roman"/>
          <w:lang w:val="en-GB"/>
        </w:rPr>
        <w:t>Considerable effort has been made to transpose Directive 96/59/EC ‘</w:t>
      </w:r>
      <w:r w:rsidRPr="006314C9">
        <w:rPr>
          <w:rFonts w:cs="Times New Roman"/>
          <w:i/>
          <w:iCs/>
          <w:lang w:val="en-GB"/>
        </w:rPr>
        <w:t xml:space="preserve">on the disposal of polychlorinated biphenyls and polychlorinated </w:t>
      </w:r>
      <w:proofErr w:type="spellStart"/>
      <w:r w:rsidRPr="006314C9">
        <w:rPr>
          <w:rFonts w:cs="Times New Roman"/>
          <w:i/>
          <w:iCs/>
          <w:lang w:val="en-GB"/>
        </w:rPr>
        <w:t>terphenyls</w:t>
      </w:r>
      <w:proofErr w:type="spellEnd"/>
      <w:r w:rsidRPr="006314C9">
        <w:rPr>
          <w:rFonts w:cs="Times New Roman"/>
          <w:i/>
          <w:iCs/>
          <w:lang w:val="en-GB"/>
        </w:rPr>
        <w:t xml:space="preserve"> (PCB/PCT)</w:t>
      </w:r>
      <w:r w:rsidRPr="006314C9">
        <w:rPr>
          <w:rFonts w:cs="Times New Roman"/>
          <w:lang w:val="en-GB"/>
        </w:rPr>
        <w:t>’ and Regulation (EC) no 850/2004 ‘</w:t>
      </w:r>
      <w:r w:rsidRPr="006314C9">
        <w:rPr>
          <w:rFonts w:cs="Times New Roman"/>
          <w:i/>
          <w:iCs/>
          <w:lang w:val="en-GB"/>
        </w:rPr>
        <w:t>on persistent organic pollutants</w:t>
      </w:r>
      <w:r w:rsidRPr="006314C9">
        <w:rPr>
          <w:rFonts w:cs="Times New Roman"/>
          <w:lang w:val="en-GB"/>
        </w:rPr>
        <w:t xml:space="preserve">’. Main national legal acts for the PCB/PCT Directive include: </w:t>
      </w:r>
      <w:proofErr w:type="spellStart"/>
      <w:r w:rsidRPr="006314C9">
        <w:rPr>
          <w:rFonts w:cs="Times New Roman"/>
          <w:lang w:val="en-GB"/>
        </w:rPr>
        <w:t>i</w:t>
      </w:r>
      <w:proofErr w:type="spellEnd"/>
      <w:r w:rsidRPr="006314C9">
        <w:rPr>
          <w:rFonts w:cs="Times New Roman"/>
          <w:lang w:val="en-GB"/>
        </w:rPr>
        <w:t xml:space="preserve">) Law no. 10 463, date </w:t>
      </w:r>
      <w:r w:rsidRPr="006314C9">
        <w:rPr>
          <w:rFonts w:cs="Times New Roman"/>
          <w:lang w:val="en-GB"/>
        </w:rPr>
        <w:lastRenderedPageBreak/>
        <w:t xml:space="preserve">22.09.2011 “On integrated waste management”, amended with Law no.156, date 10.10.2013; ii) Law No. 10448 dated 14.07.2011 “On environmental permits”, as amended; iii) DCM No. 178 dated 06.03.2012 “On waste incineration”; and for the Regulation POPs: </w:t>
      </w:r>
      <w:proofErr w:type="spellStart"/>
      <w:r w:rsidRPr="006314C9">
        <w:rPr>
          <w:rFonts w:cs="Times New Roman"/>
          <w:lang w:val="en-GB"/>
        </w:rPr>
        <w:t>i</w:t>
      </w:r>
      <w:proofErr w:type="spellEnd"/>
      <w:r w:rsidRPr="006314C9">
        <w:rPr>
          <w:rFonts w:cs="Times New Roman"/>
          <w:lang w:val="en-GB"/>
        </w:rPr>
        <w:t>) DCM No. 360, dated 29.04.2015 “On the adoption of the list of persistent organic pollutants and determination of the measures for the produce, import, placing on the market and their use”; ii) Law 9263, dated 29.07.2004 “On ratification of the “Convention of Stockholm “For persistent organic pollutants”; iii) DCM  No. 505 dated 29.08.2018 “On the adoption of the National Action Plan for phasing out and eliminating POP” (indicates the plan for further approximation until 2020).</w:t>
      </w:r>
    </w:p>
    <w:p w:rsidR="008E39DA" w:rsidRPr="006314C9" w:rsidRDefault="008E39DA" w:rsidP="008E39DA">
      <w:pPr>
        <w:rPr>
          <w:lang w:val="en-GB"/>
        </w:rPr>
      </w:pPr>
      <w:r w:rsidRPr="006314C9">
        <w:rPr>
          <w:lang w:val="en-GB"/>
        </w:rPr>
        <w:t xml:space="preserve">In addition to the above mentioned legal acts to support the waste management a DCM no. 319, dated 31.5.2018 “On the approval of measures for the costs of integrated waste management” was adopted which provides legal base for setting tariffs for the municipalities for waste collection and transportation.  </w:t>
      </w:r>
    </w:p>
    <w:p w:rsidR="008E39DA" w:rsidRPr="006314C9" w:rsidRDefault="008E39DA" w:rsidP="008E39DA">
      <w:pPr>
        <w:rPr>
          <w:i/>
          <w:lang w:val="en-GB"/>
        </w:rPr>
      </w:pPr>
      <w:r w:rsidRPr="006314C9">
        <w:rPr>
          <w:lang w:val="en-GB"/>
        </w:rPr>
        <w:t xml:space="preserve">Despite good progress already achieved transposing EU waste legislation, still some of main legal instruments to support implementation are missing, for example, ensuring that waste tariffs are adopted by municipalities as required by the legislation, rules and procedures for implementation of the extended producer responsibility system or establishment of regional administration and waste regional planning legal framework. Consequently, adoption of new and revising of existing legislation is needed, which at the same time will reflect the resent change of the administrative structure in environment. </w:t>
      </w:r>
    </w:p>
    <w:p w:rsidR="008E39DA" w:rsidRPr="006314C9" w:rsidRDefault="008E39DA" w:rsidP="008E39DA">
      <w:pPr>
        <w:rPr>
          <w:rFonts w:cs="Times New Roman"/>
          <w:b/>
          <w:lang w:val="en-GB"/>
        </w:rPr>
      </w:pPr>
      <w:r w:rsidRPr="006314C9">
        <w:rPr>
          <w:rFonts w:cs="Times New Roman"/>
          <w:b/>
          <w:lang w:val="en-GB"/>
        </w:rPr>
        <w:t xml:space="preserve">Implementation </w:t>
      </w:r>
    </w:p>
    <w:p w:rsidR="008E39DA" w:rsidRPr="006314C9" w:rsidRDefault="008E39DA" w:rsidP="008E39DA">
      <w:pPr>
        <w:rPr>
          <w:lang w:val="en-GB"/>
        </w:rPr>
      </w:pPr>
      <w:r w:rsidRPr="006314C9">
        <w:rPr>
          <w:lang w:val="en-GB"/>
        </w:rPr>
        <w:t xml:space="preserve">Implementation of </w:t>
      </w:r>
      <w:r w:rsidRPr="006314C9">
        <w:rPr>
          <w:i/>
          <w:lang w:val="en-GB"/>
        </w:rPr>
        <w:t>Waste Framework Directive</w:t>
      </w:r>
      <w:r w:rsidRPr="006314C9">
        <w:rPr>
          <w:lang w:val="en-GB"/>
        </w:rPr>
        <w:t xml:space="preserve"> is at an initial stage in Albania. Only issues related to hazardous waste produced by households’, waste oils, permitting, registration, inspections, and enforcement of penalties are implemented to some extent. Others related to the list of waste, properties of hazardous waste, preparing for re-use and recycling, protection of human health and environment, control of hazardous waste and waste management plans are being partially implemented. The rest of issues as the one related to establishment of waste hierarchy, principles of self-proximity, record keeping, extended </w:t>
      </w:r>
      <w:r w:rsidR="00A234D8" w:rsidRPr="006314C9">
        <w:rPr>
          <w:lang w:val="en-GB"/>
        </w:rPr>
        <w:t>producers responsibility</w:t>
      </w:r>
      <w:r w:rsidRPr="006314C9">
        <w:rPr>
          <w:lang w:val="en-GB"/>
        </w:rPr>
        <w:t xml:space="preserve">, exemption from permit requirements and waste prevention programs are not at all implemented. Poor implementation practices are related to not clear responsibilities between central and local government institutions, lack of planning documents in particular on regional level and thus lack of assessing the investments needed to establish the waste management system on regional and local level, separate collection schemes,  lack of human capacities at central and municipal level, not established regional administrative structure for waste management and poor financial incentives for industry to deal with waste management. </w:t>
      </w:r>
    </w:p>
    <w:p w:rsidR="008E39DA" w:rsidRPr="006314C9" w:rsidRDefault="008E39DA" w:rsidP="008E39DA">
      <w:pPr>
        <w:rPr>
          <w:lang w:val="en-GB"/>
        </w:rPr>
      </w:pPr>
      <w:r w:rsidRPr="006314C9">
        <w:rPr>
          <w:lang w:val="en-GB"/>
        </w:rPr>
        <w:t xml:space="preserve">Other directives related to different waste streams (packaging and waste from packaging, batteries and accumulators and their waste, WEEE, end-of-life vehicles) are at initial stage of implementation. Institutional set up in charge for implementing these directives need for building know-how (Structure + Numbers + Capabilities). Extended producer responsibility (EPR) scheme is not established for any waste streams, and no financial instruments for collection and establishment of separate collective systems are in place. There are some business activities related to recycling or treatment of waste, as well waste </w:t>
      </w:r>
      <w:proofErr w:type="gramStart"/>
      <w:r w:rsidRPr="006314C9">
        <w:rPr>
          <w:lang w:val="en-GB"/>
        </w:rPr>
        <w:t>exports,</w:t>
      </w:r>
      <w:proofErr w:type="gramEnd"/>
      <w:r w:rsidRPr="006314C9">
        <w:rPr>
          <w:lang w:val="en-GB"/>
        </w:rPr>
        <w:t xml:space="preserve"> however it is performed in a sporadic way. Import of waste is banned for several years under the public pressure that authorities </w:t>
      </w:r>
      <w:proofErr w:type="spellStart"/>
      <w:r w:rsidRPr="006314C9">
        <w:rPr>
          <w:lang w:val="en-GB"/>
        </w:rPr>
        <w:t>can not</w:t>
      </w:r>
      <w:proofErr w:type="spellEnd"/>
      <w:r w:rsidRPr="006314C9">
        <w:rPr>
          <w:lang w:val="en-GB"/>
        </w:rPr>
        <w:t xml:space="preserve"> ensure safe implementation. The establishment of waste databases and information system is at early stage. Apart from lack of implementation of several aspects of the requirements of waste directives on specific waste streams, some of the chapters have been included in the waste planning process and some instruments are in place:</w:t>
      </w:r>
    </w:p>
    <w:p w:rsidR="008E39DA" w:rsidRPr="006314C9" w:rsidRDefault="008E39DA" w:rsidP="008E39DA">
      <w:pPr>
        <w:pStyle w:val="ListParagraph"/>
        <w:numPr>
          <w:ilvl w:val="0"/>
          <w:numId w:val="2"/>
        </w:numPr>
        <w:rPr>
          <w:rFonts w:cs="Times New Roman"/>
          <w:lang w:val="en-GB"/>
        </w:rPr>
      </w:pPr>
      <w:r w:rsidRPr="006314C9">
        <w:rPr>
          <w:rFonts w:cs="Times New Roman"/>
          <w:lang w:val="en-GB"/>
        </w:rPr>
        <w:t>A decision on the use of economic instruments has been adopted for packaging and waste from packaging;</w:t>
      </w:r>
    </w:p>
    <w:p w:rsidR="008E39DA" w:rsidRPr="006314C9" w:rsidRDefault="008E39DA" w:rsidP="008E39DA">
      <w:pPr>
        <w:pStyle w:val="ListParagraph"/>
        <w:numPr>
          <w:ilvl w:val="0"/>
          <w:numId w:val="2"/>
        </w:numPr>
        <w:rPr>
          <w:rFonts w:cs="Times New Roman"/>
          <w:lang w:val="en-GB"/>
        </w:rPr>
      </w:pPr>
      <w:r w:rsidRPr="006314C9">
        <w:rPr>
          <w:rFonts w:cs="Times New Roman"/>
          <w:lang w:val="en-GB"/>
        </w:rPr>
        <w:t>A ban on the marketing of non-compliant batteries, end-of-life vehicles were introduced;</w:t>
      </w:r>
    </w:p>
    <w:p w:rsidR="008E39DA" w:rsidRPr="006314C9" w:rsidRDefault="008E39DA" w:rsidP="008E39DA">
      <w:pPr>
        <w:pStyle w:val="ListParagraph"/>
        <w:numPr>
          <w:ilvl w:val="0"/>
          <w:numId w:val="2"/>
        </w:numPr>
        <w:rPr>
          <w:rFonts w:cs="Times New Roman"/>
          <w:lang w:val="en-GB"/>
        </w:rPr>
      </w:pPr>
      <w:r w:rsidRPr="006314C9">
        <w:rPr>
          <w:rFonts w:cs="Times New Roman"/>
          <w:lang w:val="en-GB"/>
        </w:rPr>
        <w:t>Sufficient measures have been taken to ensure that non-complying batteries or accumulators are not placed on the market 2 years after entry into force by the State Technical Inspectorate and other responsible institutions.</w:t>
      </w:r>
    </w:p>
    <w:p w:rsidR="008E39DA" w:rsidRPr="006314C9" w:rsidRDefault="008E39DA" w:rsidP="008E39DA">
      <w:pPr>
        <w:rPr>
          <w:lang w:val="en-GB"/>
        </w:rPr>
      </w:pPr>
      <w:r w:rsidRPr="006314C9">
        <w:rPr>
          <w:lang w:val="en-GB"/>
        </w:rPr>
        <w:lastRenderedPageBreak/>
        <w:t>Directive 1999/31/EC ‘</w:t>
      </w:r>
      <w:r w:rsidRPr="006314C9">
        <w:rPr>
          <w:i/>
          <w:iCs/>
          <w:lang w:val="en-GB"/>
        </w:rPr>
        <w:t>on the landfill of waste</w:t>
      </w:r>
      <w:r w:rsidRPr="006314C9">
        <w:rPr>
          <w:lang w:val="en-GB"/>
        </w:rPr>
        <w:t>’ and directive 2011/97/EU ‘</w:t>
      </w:r>
      <w:r w:rsidRPr="006314C9">
        <w:rPr>
          <w:i/>
          <w:iCs/>
          <w:lang w:val="en-GB"/>
        </w:rPr>
        <w:t>establishing criteria and procedures for the acceptance of waste at landfills</w:t>
      </w:r>
      <w:r w:rsidRPr="006314C9">
        <w:rPr>
          <w:lang w:val="en-GB"/>
        </w:rPr>
        <w:t xml:space="preserve">’ is at initial stage of implementation because financing of high costs that are needed for the construction of new landfills and the rehabilitation of the existing ones is not available. The DCM is amended last year (2018) to extend the transitional period for implementation up to 10 years. However, to meet the requirement of the Directive 1999/31/EC Albania will need transitional period after EU accession, thus Directive Specific Implementation Plan need to be prepared. At the moment there are estimated 199 dumpsites in Albania, some of which are still used by municipalities for waste </w:t>
      </w:r>
      <w:proofErr w:type="spellStart"/>
      <w:r w:rsidRPr="006314C9">
        <w:rPr>
          <w:lang w:val="en-GB"/>
        </w:rPr>
        <w:t>landfilling</w:t>
      </w:r>
      <w:proofErr w:type="spellEnd"/>
      <w:r w:rsidRPr="006314C9">
        <w:rPr>
          <w:lang w:val="en-GB"/>
        </w:rPr>
        <w:t xml:space="preserve">. MTE is taking efforts to propose some intermediate steps as to allow, after some rehabilitation, some dumpsites to be used until new proper ones are constructed and to close or remediate the others. </w:t>
      </w:r>
    </w:p>
    <w:p w:rsidR="008E39DA" w:rsidRPr="006314C9" w:rsidRDefault="008E39DA" w:rsidP="008E39DA">
      <w:pPr>
        <w:rPr>
          <w:lang w:val="en-GB"/>
        </w:rPr>
      </w:pPr>
      <w:proofErr w:type="gramStart"/>
      <w:r w:rsidRPr="006314C9">
        <w:rPr>
          <w:rFonts w:eastAsia="Times New Roman"/>
          <w:lang w:val="en-GB"/>
        </w:rPr>
        <w:t>Implementation of Directive 2006/21/EC</w:t>
      </w:r>
      <w:r w:rsidRPr="006314C9">
        <w:rPr>
          <w:lang w:val="en-GB"/>
        </w:rPr>
        <w:t xml:space="preserve"> ‘</w:t>
      </w:r>
      <w:r w:rsidRPr="006314C9">
        <w:rPr>
          <w:rFonts w:eastAsia="Times New Roman"/>
          <w:i/>
          <w:iCs/>
          <w:lang w:val="en-GB"/>
        </w:rPr>
        <w:t>on the management of waste from extractive industries</w:t>
      </w:r>
      <w:r w:rsidRPr="006314C9">
        <w:rPr>
          <w:rFonts w:eastAsia="Times New Roman"/>
          <w:lang w:val="en-GB"/>
        </w:rPr>
        <w:t xml:space="preserve">’ is in </w:t>
      </w:r>
      <w:r w:rsidRPr="006314C9">
        <w:rPr>
          <w:lang w:val="en-GB"/>
        </w:rPr>
        <w:t xml:space="preserve">an advanced stage </w:t>
      </w:r>
      <w:r w:rsidR="00694EE8" w:rsidRPr="006314C9">
        <w:rPr>
          <w:lang w:val="en-GB"/>
        </w:rPr>
        <w:t>only</w:t>
      </w:r>
      <w:r w:rsidRPr="006314C9">
        <w:rPr>
          <w:lang w:val="en-GB"/>
        </w:rPr>
        <w:t xml:space="preserve"> in terms of institutional setup.</w:t>
      </w:r>
      <w:proofErr w:type="gramEnd"/>
      <w:r w:rsidRPr="006314C9">
        <w:rPr>
          <w:lang w:val="en-GB"/>
        </w:rPr>
        <w:t xml:space="preserve"> Nevertheless, the Directive is not fully transposed yet thus </w:t>
      </w:r>
      <w:proofErr w:type="spellStart"/>
      <w:r w:rsidRPr="006314C9">
        <w:rPr>
          <w:lang w:val="en-GB"/>
        </w:rPr>
        <w:t>can not</w:t>
      </w:r>
      <w:proofErr w:type="spellEnd"/>
      <w:r w:rsidRPr="006314C9">
        <w:rPr>
          <w:lang w:val="en-GB"/>
        </w:rPr>
        <w:t xml:space="preserve"> be implemented. The main gap in implementation is related to capacities of the respective operators of extractive industries for preparation of waste management plans. The limited budget and administration capacity (only one person responsible) remain a big challenge for improving the situation. In addition efforts are needed for considering the existing hotspots, abandoned sites and especially for the rehabilitation of the sites for the existing operations where financial guarantees are paid but the operator closed the activity.</w:t>
      </w:r>
    </w:p>
    <w:p w:rsidR="008E39DA" w:rsidRPr="006314C9" w:rsidRDefault="008E39DA" w:rsidP="008E39DA">
      <w:pPr>
        <w:rPr>
          <w:rFonts w:cs="Times New Roman"/>
          <w:lang w:val="en-GB"/>
        </w:rPr>
      </w:pPr>
      <w:r w:rsidRPr="006314C9">
        <w:rPr>
          <w:rFonts w:cs="Times New Roman"/>
          <w:lang w:val="en-GB"/>
        </w:rPr>
        <w:t xml:space="preserve">Implementation of </w:t>
      </w:r>
      <w:r w:rsidRPr="006314C9">
        <w:rPr>
          <w:rFonts w:eastAsia="Times New Roman" w:cs="Times New Roman"/>
          <w:lang w:val="en-GB"/>
        </w:rPr>
        <w:t>Directive 86/278/EEC ‘</w:t>
      </w:r>
      <w:r w:rsidRPr="006314C9">
        <w:rPr>
          <w:rFonts w:eastAsia="Times New Roman" w:cs="Times New Roman"/>
          <w:i/>
          <w:iCs/>
          <w:lang w:val="en-GB"/>
        </w:rPr>
        <w:t>on protection of environment when sewage sludge is used in agriculture</w:t>
      </w:r>
      <w:r w:rsidRPr="006314C9">
        <w:rPr>
          <w:rFonts w:eastAsia="Times New Roman" w:cs="Times New Roman"/>
          <w:lang w:val="en-GB"/>
        </w:rPr>
        <w:t xml:space="preserve">’ is lacking behind due to </w:t>
      </w:r>
      <w:r w:rsidRPr="006314C9">
        <w:rPr>
          <w:rFonts w:cs="Times New Roman"/>
          <w:lang w:val="en-GB"/>
        </w:rPr>
        <w:t xml:space="preserve">coordination issues among relevant ministries, ending up having no control on the disposal of untreated sludge introducing to soil. </w:t>
      </w:r>
    </w:p>
    <w:p w:rsidR="008E39DA" w:rsidRPr="006314C9" w:rsidRDefault="008E39DA" w:rsidP="008E39DA">
      <w:pPr>
        <w:rPr>
          <w:rFonts w:cs="Times New Roman"/>
          <w:lang w:val="en-GB"/>
        </w:rPr>
      </w:pPr>
      <w:r w:rsidRPr="006314C9">
        <w:rPr>
          <w:rFonts w:cs="Times New Roman"/>
          <w:lang w:val="en-GB"/>
        </w:rPr>
        <w:t>Directive 96/59/EC ‘</w:t>
      </w:r>
      <w:r w:rsidRPr="006314C9">
        <w:rPr>
          <w:rFonts w:cs="Times New Roman"/>
          <w:i/>
          <w:iCs/>
          <w:lang w:val="en-GB"/>
        </w:rPr>
        <w:t xml:space="preserve">on the disposal of polychlorinated biphenyls and polychlorinated </w:t>
      </w:r>
      <w:proofErr w:type="spellStart"/>
      <w:r w:rsidRPr="006314C9">
        <w:rPr>
          <w:rFonts w:cs="Times New Roman"/>
          <w:i/>
          <w:iCs/>
          <w:lang w:val="en-GB"/>
        </w:rPr>
        <w:t>terphenyls</w:t>
      </w:r>
      <w:proofErr w:type="spellEnd"/>
      <w:r w:rsidRPr="006314C9">
        <w:rPr>
          <w:rFonts w:cs="Times New Roman"/>
          <w:i/>
          <w:iCs/>
          <w:lang w:val="en-GB"/>
        </w:rPr>
        <w:t xml:space="preserve"> (PCB/PCT)</w:t>
      </w:r>
      <w:r w:rsidRPr="006314C9">
        <w:rPr>
          <w:rFonts w:cs="Times New Roman"/>
          <w:lang w:val="en-GB"/>
        </w:rPr>
        <w:t xml:space="preserve">’ and </w:t>
      </w:r>
      <w:r w:rsidRPr="006314C9">
        <w:rPr>
          <w:rFonts w:eastAsia="Times New Roman" w:cs="Times New Roman"/>
          <w:lang w:val="en-GB"/>
        </w:rPr>
        <w:t>Regulation (EC) no 850/2004 ‘</w:t>
      </w:r>
      <w:r w:rsidRPr="006314C9">
        <w:rPr>
          <w:rFonts w:eastAsia="Times New Roman" w:cs="Times New Roman"/>
          <w:i/>
          <w:iCs/>
          <w:lang w:val="en-GB"/>
        </w:rPr>
        <w:t>on persistent organic pollutants</w:t>
      </w:r>
      <w:r w:rsidRPr="006314C9">
        <w:rPr>
          <w:rFonts w:cs="Times New Roman"/>
          <w:lang w:val="en-GB"/>
        </w:rPr>
        <w:t xml:space="preserve">’ are at </w:t>
      </w:r>
      <w:r w:rsidR="00694EE8" w:rsidRPr="006314C9">
        <w:rPr>
          <w:rFonts w:cs="Times New Roman"/>
          <w:lang w:val="en-GB"/>
        </w:rPr>
        <w:t>initial</w:t>
      </w:r>
      <w:r w:rsidRPr="006314C9">
        <w:rPr>
          <w:rFonts w:cs="Times New Roman"/>
          <w:lang w:val="en-GB"/>
        </w:rPr>
        <w:t xml:space="preserve"> stage of implementation even concerning the institutional set-up as a start. </w:t>
      </w:r>
    </w:p>
    <w:p w:rsidR="008E39DA" w:rsidRPr="006314C9" w:rsidRDefault="008E39DA" w:rsidP="008E39DA">
      <w:pPr>
        <w:rPr>
          <w:lang w:val="en-GB"/>
        </w:rPr>
      </w:pPr>
      <w:r w:rsidRPr="006314C9">
        <w:rPr>
          <w:lang w:val="en-GB"/>
        </w:rPr>
        <w:t>Regulation (EC) no. 1013/2006 ‘</w:t>
      </w:r>
      <w:r w:rsidRPr="006314C9">
        <w:rPr>
          <w:i/>
          <w:iCs/>
          <w:lang w:val="en-GB"/>
        </w:rPr>
        <w:t>on shipments of waste</w:t>
      </w:r>
      <w:r w:rsidRPr="006314C9">
        <w:rPr>
          <w:lang w:val="en-GB"/>
        </w:rPr>
        <w:t xml:space="preserve">’ is not implemented in terms of legislation, rules and procedures required. However, in terms of operations MTE exercises a set of regulations as established by the bylaws in force, for some waste following the rules of the Basel Convention. Inspection and control by the Inspectorate are more advanced, while </w:t>
      </w:r>
      <w:proofErr w:type="gramStart"/>
      <w:r w:rsidRPr="006314C9">
        <w:rPr>
          <w:lang w:val="en-GB"/>
        </w:rPr>
        <w:t>the capacitates</w:t>
      </w:r>
      <w:proofErr w:type="gramEnd"/>
      <w:r w:rsidRPr="006314C9">
        <w:rPr>
          <w:lang w:val="en-GB"/>
        </w:rPr>
        <w:t xml:space="preserve"> at other key authorities such as Customs and Police are very limited.</w:t>
      </w:r>
    </w:p>
    <w:p w:rsidR="008E39DA" w:rsidRPr="006314C9" w:rsidRDefault="008E39DA" w:rsidP="008E39DA">
      <w:pPr>
        <w:rPr>
          <w:rFonts w:eastAsia="Times New Roman"/>
          <w:lang w:val="en-GB"/>
        </w:rPr>
      </w:pPr>
      <w:r w:rsidRPr="006314C9">
        <w:rPr>
          <w:rFonts w:eastAsia="Times New Roman"/>
          <w:lang w:val="en-GB"/>
        </w:rPr>
        <w:t>Regulation (EU) no. 1257/2013 ‘</w:t>
      </w:r>
      <w:r w:rsidRPr="006314C9">
        <w:rPr>
          <w:rFonts w:eastAsia="Times New Roman"/>
          <w:i/>
          <w:iCs/>
          <w:lang w:val="en-GB"/>
        </w:rPr>
        <w:t>on ship recycling</w:t>
      </w:r>
      <w:r w:rsidRPr="006314C9">
        <w:rPr>
          <w:rFonts w:eastAsia="Times New Roman"/>
          <w:lang w:val="en-GB"/>
        </w:rPr>
        <w:t xml:space="preserve">’ is not </w:t>
      </w:r>
      <w:r w:rsidRPr="006314C9">
        <w:rPr>
          <w:lang w:val="en-GB"/>
        </w:rPr>
        <w:t>implemented, as the Hong Kong Convention is not ratified by Albania and there are no legal bases for transposing the Regulation nor is the infrastructure in place.</w:t>
      </w:r>
    </w:p>
    <w:p w:rsidR="008E39DA" w:rsidRPr="006314C9" w:rsidRDefault="008E39DA" w:rsidP="008E39DA">
      <w:pPr>
        <w:rPr>
          <w:rFonts w:cs="Times New Roman"/>
          <w:lang w:val="en-GB"/>
        </w:rPr>
      </w:pPr>
      <w:r w:rsidRPr="006314C9">
        <w:rPr>
          <w:rFonts w:cs="Times New Roman"/>
          <w:lang w:val="en-GB"/>
        </w:rPr>
        <w:t>Only Directive 2011/65/EU ‘</w:t>
      </w:r>
      <w:r w:rsidRPr="006314C9">
        <w:rPr>
          <w:rFonts w:cs="Times New Roman"/>
          <w:i/>
          <w:iCs/>
          <w:lang w:val="en-GB"/>
        </w:rPr>
        <w:t>on the restriction of the use of certain hazardous substances in electrical and electronic equipment</w:t>
      </w:r>
      <w:r w:rsidRPr="006314C9">
        <w:rPr>
          <w:rFonts w:cs="Times New Roman"/>
          <w:lang w:val="en-GB"/>
        </w:rPr>
        <w:t xml:space="preserve">’ is not transposed and thus has no even initial implementation. </w:t>
      </w:r>
    </w:p>
    <w:p w:rsidR="008E39DA" w:rsidRPr="006314C9" w:rsidRDefault="008E39DA" w:rsidP="008E39DA">
      <w:pPr>
        <w:rPr>
          <w:lang w:val="en-GB"/>
        </w:rPr>
      </w:pPr>
      <w:r w:rsidRPr="006314C9">
        <w:rPr>
          <w:lang w:val="en-GB"/>
        </w:rPr>
        <w:t>In regard to EU negotiation DSPIs will need to be prepared for the Landfill directive and for four waste streams directives (batteries and accumulators, packaging, WEEE and end of life vehicles)</w:t>
      </w:r>
      <w:r w:rsidR="00694EE8" w:rsidRPr="006314C9">
        <w:rPr>
          <w:lang w:val="en-GB"/>
        </w:rPr>
        <w:t xml:space="preserve"> as being assess as directives for which transitional periods will be needed</w:t>
      </w:r>
      <w:r w:rsidRPr="006314C9">
        <w:rPr>
          <w:lang w:val="en-GB"/>
        </w:rPr>
        <w:t xml:space="preserve">. </w:t>
      </w:r>
      <w:r w:rsidR="00694EE8" w:rsidRPr="006314C9">
        <w:rPr>
          <w:lang w:val="en-GB"/>
        </w:rPr>
        <w:t xml:space="preserve">Waste Framework Directive should be as well </w:t>
      </w:r>
      <w:proofErr w:type="gramStart"/>
      <w:r w:rsidR="00694EE8" w:rsidRPr="006314C9">
        <w:rPr>
          <w:lang w:val="en-GB"/>
        </w:rPr>
        <w:t>consider</w:t>
      </w:r>
      <w:proofErr w:type="gramEnd"/>
      <w:r w:rsidR="00694EE8" w:rsidRPr="006314C9">
        <w:rPr>
          <w:lang w:val="en-GB"/>
        </w:rPr>
        <w:t xml:space="preserve"> during the process of EU negotiation. </w:t>
      </w:r>
    </w:p>
    <w:p w:rsidR="008E39DA" w:rsidRPr="006314C9" w:rsidRDefault="008E39DA" w:rsidP="008E39DA">
      <w:pPr>
        <w:rPr>
          <w:rFonts w:cs="Times New Roman"/>
          <w:lang w:val="en-GB"/>
        </w:rPr>
      </w:pPr>
      <w:r w:rsidRPr="006314C9">
        <w:rPr>
          <w:rFonts w:cs="Times New Roman"/>
          <w:b/>
          <w:lang w:val="en-GB"/>
        </w:rPr>
        <w:t>Administrative Capacity</w:t>
      </w:r>
    </w:p>
    <w:p w:rsidR="008E39DA" w:rsidRPr="006314C9" w:rsidRDefault="008E39DA" w:rsidP="008E39DA">
      <w:pPr>
        <w:rPr>
          <w:lang w:val="en-GB"/>
        </w:rPr>
      </w:pPr>
      <w:r w:rsidRPr="006314C9">
        <w:rPr>
          <w:lang w:val="en-GB"/>
        </w:rPr>
        <w:t xml:space="preserve">Ministry of Tourism and Environment, National Environmental Agency and in most cases Ministry of Infrastructure and Energy, with its new executive body National Agency on Water Supply Sanitation and Waste Infrastructure (AKUM) are the dominant authorities responsible for transposition, policy making and implementation for all directives, regulations and recommendation related to this subchapter. Currently the </w:t>
      </w:r>
      <w:proofErr w:type="spellStart"/>
      <w:r w:rsidRPr="006314C9">
        <w:rPr>
          <w:lang w:val="en-GB"/>
        </w:rPr>
        <w:t>organigram</w:t>
      </w:r>
      <w:proofErr w:type="spellEnd"/>
      <w:r w:rsidRPr="006314C9">
        <w:rPr>
          <w:lang w:val="en-GB"/>
        </w:rPr>
        <w:t xml:space="preserve"> of MTE has fragmented the staff dealing with waste in different units (only 2). The same persons oversee more than one Directive, more than just waste and more than just transposition/policy/implementation planning. Job descriptions are very general and do not point to the </w:t>
      </w:r>
      <w:r w:rsidRPr="006314C9">
        <w:rPr>
          <w:lang w:val="en-GB"/>
        </w:rPr>
        <w:lastRenderedPageBreak/>
        <w:t xml:space="preserve">exact duties of the staff regarding the requirements of this Directive. MTE needs more staff in the waste management sector, capacity building and clear job description for the people in charge of waste issues. </w:t>
      </w:r>
    </w:p>
    <w:p w:rsidR="008E39DA" w:rsidRPr="006314C9" w:rsidRDefault="008E39DA" w:rsidP="008E39DA">
      <w:pPr>
        <w:rPr>
          <w:lang w:val="en-GB"/>
        </w:rPr>
      </w:pPr>
      <w:r w:rsidRPr="006314C9">
        <w:rPr>
          <w:lang w:val="en-GB"/>
        </w:rPr>
        <w:t>Ministry of Infrastructure and Energy (MIE) has primary role in planning the infrastructure for waste management and AKUM is responsible for its implementation. At MIE there is only one person responsible to follow waste planning and AKUM there is still no person solely responsible for waste management. MIE is as well responsible for Extractive Industry Directive where only one person is responsible (who soon will be retired).</w:t>
      </w:r>
    </w:p>
    <w:p w:rsidR="008E39DA" w:rsidRPr="006314C9" w:rsidRDefault="008E39DA" w:rsidP="008E39DA">
      <w:pPr>
        <w:rPr>
          <w:lang w:val="en-GB"/>
        </w:rPr>
      </w:pPr>
      <w:r w:rsidRPr="006314C9">
        <w:rPr>
          <w:lang w:val="en-GB"/>
        </w:rPr>
        <w:t xml:space="preserve">Other line ministries which have waste related responsibilities do cooperate with MTE for the transposition of waste directives relevant for their area of competence, as well as during the implementation phase. However, waste issues are not always a priority and they have limited staff and attention, dedicated to waste issues. </w:t>
      </w:r>
    </w:p>
    <w:p w:rsidR="008E39DA" w:rsidRPr="006314C9" w:rsidRDefault="008E39DA" w:rsidP="008E39DA">
      <w:pPr>
        <w:rPr>
          <w:lang w:val="en-GB"/>
        </w:rPr>
      </w:pPr>
      <w:r w:rsidRPr="006314C9">
        <w:rPr>
          <w:rFonts w:eastAsia="Times New Roman"/>
          <w:lang w:val="en-GB"/>
        </w:rPr>
        <w:t xml:space="preserve">For directives related to specific waste streams (on packaging and packaging waste, </w:t>
      </w:r>
      <w:r w:rsidRPr="006314C9">
        <w:rPr>
          <w:lang w:val="en-GB"/>
        </w:rPr>
        <w:t>on batteries and accumulators and waste batteries and accumulators</w:t>
      </w:r>
      <w:r w:rsidRPr="006314C9">
        <w:rPr>
          <w:rFonts w:eastAsia="Times New Roman"/>
          <w:lang w:val="en-GB"/>
        </w:rPr>
        <w:t xml:space="preserve">, WEEE, </w:t>
      </w:r>
      <w:r w:rsidRPr="006314C9">
        <w:rPr>
          <w:lang w:val="en-GB"/>
        </w:rPr>
        <w:t>on the restriction of the use of certain hazardous substances in electrical and electronic equipment) MTE is the main authority for the implementation of these directives. NEA, as the executive body of the MTE, is directly involved on keeping records in the field for the implementation of the directives. NEA has no dedicated staff or sector for these directives and at MTE there are only 2 people in charge dealing with waste issues including these specific directives. Additional staff and technical assistance is needed for all of them, to properly implement the obligations of the directives. For the establishment of the database for waste and these waste streams, guidelines and administrative procedures are needed to be developed especially at municipality level. There is an urgent need to establish economic instruments and legally establish system and procedures for the EPR schemes.</w:t>
      </w:r>
    </w:p>
    <w:p w:rsidR="008E39DA" w:rsidRPr="006314C9" w:rsidRDefault="008E39DA" w:rsidP="008E39DA">
      <w:pPr>
        <w:rPr>
          <w:lang w:val="en-GB"/>
        </w:rPr>
      </w:pPr>
      <w:r w:rsidRPr="006314C9">
        <w:rPr>
          <w:lang w:val="en-GB"/>
        </w:rPr>
        <w:t>Current structure</w:t>
      </w:r>
      <w:r w:rsidRPr="006314C9">
        <w:rPr>
          <w:rFonts w:eastAsia="Times New Roman"/>
          <w:lang w:val="en-GB"/>
        </w:rPr>
        <w:t xml:space="preserve"> on the management of waste from extractive industries</w:t>
      </w:r>
      <w:r w:rsidRPr="006314C9">
        <w:rPr>
          <w:lang w:val="en-GB"/>
        </w:rPr>
        <w:t xml:space="preserve"> can be considered well-organised and there is a very good experience in these institutions in relation to extractive industry. However, there is only one person in MIE who works on this issue. As a top priority for the last century the sector has been well developed in terms of business activity, but the environmental aspects remain weak although addressed </w:t>
      </w:r>
      <w:r w:rsidR="00A234D8" w:rsidRPr="006314C9">
        <w:rPr>
          <w:lang w:val="en-GB"/>
        </w:rPr>
        <w:t>in the</w:t>
      </w:r>
      <w:r w:rsidRPr="006314C9">
        <w:rPr>
          <w:lang w:val="en-GB"/>
        </w:rPr>
        <w:t xml:space="preserve"> legislation. A sector for the environmental protection is needed at MIE and NANR (National Agency on Natural Resources) to ensure fulfilment of all environmental standards and requirements by the institutions and operators. This sector has a specific characteristic, as most of the problems are inherited. Further support for the sector, as staff qualification, proper management infrastructure, and financial incentives to better supervise the activities especially the abandoned ones and closed activities which pose a higher risk, are needed</w:t>
      </w:r>
    </w:p>
    <w:p w:rsidR="008E39DA" w:rsidRPr="006314C9" w:rsidRDefault="008E39DA" w:rsidP="008E39DA">
      <w:pPr>
        <w:rPr>
          <w:lang w:val="en-GB"/>
        </w:rPr>
      </w:pPr>
      <w:r w:rsidRPr="006314C9">
        <w:rPr>
          <w:lang w:val="en-GB"/>
        </w:rPr>
        <w:t>Regarding implementation of requirements for Directive 1999/31/EC ‘</w:t>
      </w:r>
      <w:r w:rsidRPr="006314C9">
        <w:rPr>
          <w:i/>
          <w:iCs/>
          <w:lang w:val="en-GB"/>
        </w:rPr>
        <w:t>on the landfill of waste</w:t>
      </w:r>
      <w:r w:rsidRPr="006314C9">
        <w:rPr>
          <w:lang w:val="en-GB"/>
        </w:rPr>
        <w:t>’ and directive 2011/97/EU ‘</w:t>
      </w:r>
      <w:r w:rsidRPr="006314C9">
        <w:rPr>
          <w:i/>
          <w:iCs/>
          <w:lang w:val="en-GB"/>
        </w:rPr>
        <w:t>establishing criteria and procedures for the acceptance of waste at landfills’</w:t>
      </w:r>
      <w:r w:rsidRPr="006314C9">
        <w:rPr>
          <w:lang w:val="en-GB"/>
        </w:rPr>
        <w:t xml:space="preserve"> and Regulation </w:t>
      </w:r>
      <w:r w:rsidRPr="006314C9">
        <w:rPr>
          <w:rFonts w:eastAsia="Times New Roman"/>
          <w:lang w:val="en-GB"/>
        </w:rPr>
        <w:t>(EU) no 1257/2013 ‘</w:t>
      </w:r>
      <w:r w:rsidRPr="006314C9">
        <w:rPr>
          <w:rFonts w:eastAsia="Times New Roman"/>
          <w:i/>
          <w:iCs/>
          <w:lang w:val="en-GB"/>
        </w:rPr>
        <w:t>on ship recycling</w:t>
      </w:r>
      <w:r w:rsidRPr="006314C9">
        <w:rPr>
          <w:lang w:val="en-GB"/>
        </w:rPr>
        <w:t xml:space="preserve">’, the system has undergone a reform by the establishment of the NAWSSI (National Agency of Water Supply Sanitation and Waste Infrastructure). It is expected from this new executive body of MIE to further strengthen the capacities to implement the infrastructure of waste at both technical and financial level. However, the roles and responsibilities between MTE and MIE have been a long subject of disputes. Furthermore, the role of the municipalities on waste treatment is not clear and is being clarified including clearing of competences. The role of the Regional Councils has been diminished as is expected to be further reduced by the introduction of the concept of Waste Zones by the new draft Strategy for ISWM 2018-2033 and the </w:t>
      </w:r>
      <w:proofErr w:type="spellStart"/>
      <w:r w:rsidRPr="006314C9">
        <w:rPr>
          <w:lang w:val="en-GB"/>
        </w:rPr>
        <w:t>Masterplan</w:t>
      </w:r>
      <w:proofErr w:type="spellEnd"/>
      <w:r w:rsidRPr="006314C9">
        <w:rPr>
          <w:lang w:val="en-GB"/>
        </w:rPr>
        <w:t xml:space="preserve"> of Infrastructure of Waste. In this regard, a legal reform to improve the institutional framework, law harmonisation and alignment and adopt the new standards and targets for municipal waste management and increase capacity in number and quality is an absolute necessity.</w:t>
      </w:r>
    </w:p>
    <w:p w:rsidR="008E39DA" w:rsidRPr="006314C9" w:rsidRDefault="008E39DA" w:rsidP="008E39DA">
      <w:pPr>
        <w:rPr>
          <w:lang w:val="en-GB"/>
        </w:rPr>
      </w:pPr>
      <w:r w:rsidRPr="006314C9">
        <w:rPr>
          <w:lang w:val="en-GB"/>
        </w:rPr>
        <w:t>Regulation (EC) no. 1013/2006 ‘</w:t>
      </w:r>
      <w:r w:rsidRPr="006314C9">
        <w:rPr>
          <w:i/>
          <w:iCs/>
          <w:lang w:val="en-GB"/>
        </w:rPr>
        <w:t>on shipments of waste</w:t>
      </w:r>
      <w:r w:rsidRPr="006314C9">
        <w:rPr>
          <w:lang w:val="en-GB"/>
        </w:rPr>
        <w:t>’ and Directive 96/59/EC ‘</w:t>
      </w:r>
      <w:r w:rsidRPr="006314C9">
        <w:rPr>
          <w:i/>
          <w:iCs/>
          <w:lang w:val="en-GB"/>
        </w:rPr>
        <w:t xml:space="preserve">on the disposal of polychlorinated biphenyls and polychlorinated </w:t>
      </w:r>
      <w:proofErr w:type="spellStart"/>
      <w:r w:rsidRPr="006314C9">
        <w:rPr>
          <w:i/>
          <w:iCs/>
          <w:lang w:val="en-GB"/>
        </w:rPr>
        <w:t>terphenyls</w:t>
      </w:r>
      <w:proofErr w:type="spellEnd"/>
      <w:r w:rsidRPr="006314C9">
        <w:rPr>
          <w:i/>
          <w:iCs/>
          <w:lang w:val="en-GB"/>
        </w:rPr>
        <w:t xml:space="preserve"> (PCB/PCT)</w:t>
      </w:r>
      <w:r w:rsidRPr="006314C9">
        <w:rPr>
          <w:lang w:val="en-GB"/>
        </w:rPr>
        <w:t xml:space="preserve">’ are not implemented and requires </w:t>
      </w:r>
      <w:r w:rsidRPr="006314C9">
        <w:rPr>
          <w:lang w:val="en-GB"/>
        </w:rPr>
        <w:lastRenderedPageBreak/>
        <w:t xml:space="preserve">an immediate intervention in order to improve legal and institutional framework. Existing institutions need to increase capacity in number and quality to accommodate these new requirements. </w:t>
      </w:r>
    </w:p>
    <w:p w:rsidR="008E39DA" w:rsidRPr="006314C9" w:rsidRDefault="008E39DA" w:rsidP="008E39DA">
      <w:pPr>
        <w:rPr>
          <w:rFonts w:cs="Times New Roman"/>
          <w:lang w:val="en-GB"/>
        </w:rPr>
      </w:pPr>
      <w:r w:rsidRPr="006314C9">
        <w:rPr>
          <w:rFonts w:cs="Times New Roman"/>
          <w:lang w:val="en-GB"/>
        </w:rPr>
        <w:t>Ministry of Agriculture and Rural Development (MARD) is the leading institution dealing with implementation of Directive 86/278/EEC ‘</w:t>
      </w:r>
      <w:r w:rsidRPr="006314C9">
        <w:rPr>
          <w:rFonts w:cs="Times New Roman"/>
          <w:i/>
          <w:iCs/>
          <w:lang w:val="en-GB"/>
        </w:rPr>
        <w:t>on protection of environment when sewage sludge is used in agriculture</w:t>
      </w:r>
      <w:r w:rsidRPr="006314C9">
        <w:rPr>
          <w:rFonts w:cs="Times New Roman"/>
          <w:lang w:val="en-GB"/>
        </w:rPr>
        <w:t xml:space="preserve">’ in collaboration with NEA. Only one person in MARD is dealing with this issue. Further efforts are needed to strengthen capacities of Agricultural Technology Transfer Centres and clarify competences between institutions. </w:t>
      </w:r>
    </w:p>
    <w:p w:rsidR="008E39DA" w:rsidRPr="006314C9" w:rsidRDefault="008E39DA" w:rsidP="008E39DA">
      <w:pPr>
        <w:rPr>
          <w:rFonts w:cs="Times New Roman"/>
          <w:lang w:val="en-GB" w:eastAsia="en-GB"/>
        </w:rPr>
      </w:pPr>
      <w:r w:rsidRPr="006314C9">
        <w:rPr>
          <w:rFonts w:cs="Times New Roman"/>
          <w:lang w:val="en-GB"/>
        </w:rPr>
        <w:t xml:space="preserve">An Action Plan providing clear roles and responsibilities of the institutions involved as well as deadlines for the implementation of actions in relation to </w:t>
      </w:r>
      <w:r w:rsidRPr="006314C9">
        <w:rPr>
          <w:rFonts w:eastAsia="Times New Roman" w:cs="Times New Roman"/>
          <w:lang w:val="en-GB"/>
        </w:rPr>
        <w:t>Regulation (EC) no 850/2004 ‘</w:t>
      </w:r>
      <w:r w:rsidRPr="006314C9">
        <w:rPr>
          <w:rFonts w:eastAsia="Times New Roman" w:cs="Times New Roman"/>
          <w:i/>
          <w:iCs/>
          <w:lang w:val="en-GB"/>
        </w:rPr>
        <w:t>on persistent organic pollutants’</w:t>
      </w:r>
      <w:r w:rsidRPr="006314C9">
        <w:rPr>
          <w:rFonts w:cs="Times New Roman"/>
          <w:lang w:val="en-GB"/>
        </w:rPr>
        <w:t xml:space="preserve"> has just started to be implemented. There is no administration set-up for dealing with this issue apart from the unit established within UNIDO supported project. </w:t>
      </w:r>
      <w:r w:rsidRPr="006314C9">
        <w:rPr>
          <w:rFonts w:cs="Times New Roman"/>
          <w:lang w:val="en-GB" w:eastAsia="en-GB"/>
        </w:rPr>
        <w:t>DCM  No. 505 dated 29.08.2018 “On the adoption of the National Action Plan for phasing out and eliminating POP” has been developed through a participatory and consultation process and is based on the assumption that current institutional set-up have the potential to implement the plan and the measures within the set deadlines. The implementation of the plan will show if there will be a need for institutional strengthening measures for the institutions involved in its implementation.</w:t>
      </w:r>
    </w:p>
    <w:p w:rsidR="008E39DA" w:rsidRPr="006314C9" w:rsidRDefault="008E39DA" w:rsidP="008E39DA">
      <w:pPr>
        <w:rPr>
          <w:rFonts w:cs="Times New Roman"/>
          <w:lang w:val="en-GB"/>
        </w:rPr>
      </w:pPr>
      <w:r w:rsidRPr="006314C9">
        <w:rPr>
          <w:rFonts w:cs="Times New Roman"/>
          <w:b/>
          <w:lang w:val="en-GB"/>
        </w:rPr>
        <w:t>Summary</w:t>
      </w:r>
    </w:p>
    <w:tbl>
      <w:tblPr>
        <w:tblStyle w:val="TableGrid"/>
        <w:tblW w:w="5000" w:type="pct"/>
        <w:tblLook w:val="04A0"/>
      </w:tblPr>
      <w:tblGrid>
        <w:gridCol w:w="2393"/>
        <w:gridCol w:w="2395"/>
        <w:gridCol w:w="2393"/>
        <w:gridCol w:w="2395"/>
      </w:tblGrid>
      <w:tr w:rsidR="008E39DA" w:rsidRPr="006314C9" w:rsidTr="008E39DA">
        <w:tc>
          <w:tcPr>
            <w:tcW w:w="2393" w:type="dxa"/>
          </w:tcPr>
          <w:p w:rsidR="008E39DA" w:rsidRPr="006314C9" w:rsidRDefault="008E39DA" w:rsidP="00750C45">
            <w:pPr>
              <w:spacing w:beforeLines="60" w:afterLines="60"/>
              <w:contextualSpacing/>
              <w:jc w:val="center"/>
              <w:rPr>
                <w:rFonts w:cs="Times New Roman"/>
                <w:b/>
                <w:sz w:val="20"/>
                <w:szCs w:val="20"/>
                <w:lang w:val="en-GB"/>
              </w:rPr>
            </w:pPr>
            <w:r w:rsidRPr="006314C9">
              <w:rPr>
                <w:rFonts w:cs="Times New Roman"/>
                <w:b/>
                <w:sz w:val="20"/>
                <w:szCs w:val="20"/>
                <w:lang w:val="en-GB"/>
              </w:rPr>
              <w:t>Directive/regulation</w:t>
            </w:r>
          </w:p>
        </w:tc>
        <w:tc>
          <w:tcPr>
            <w:tcW w:w="2395" w:type="dxa"/>
          </w:tcPr>
          <w:p w:rsidR="008E39DA" w:rsidRPr="006314C9" w:rsidRDefault="008E39DA" w:rsidP="00750C45">
            <w:pPr>
              <w:spacing w:beforeLines="60" w:afterLines="60"/>
              <w:contextualSpacing/>
              <w:jc w:val="center"/>
              <w:rPr>
                <w:rFonts w:cs="Times New Roman"/>
                <w:b/>
                <w:sz w:val="20"/>
                <w:szCs w:val="20"/>
                <w:lang w:val="en-GB"/>
              </w:rPr>
            </w:pPr>
            <w:r w:rsidRPr="006314C9">
              <w:rPr>
                <w:rFonts w:cs="Times New Roman"/>
                <w:b/>
                <w:sz w:val="20"/>
                <w:szCs w:val="20"/>
                <w:lang w:val="en-GB"/>
              </w:rPr>
              <w:t>Main competent authority</w:t>
            </w:r>
            <w:r w:rsidRPr="006314C9">
              <w:rPr>
                <w:rStyle w:val="FootnoteReference"/>
                <w:rFonts w:cs="Times New Roman"/>
                <w:b/>
                <w:sz w:val="20"/>
                <w:szCs w:val="20"/>
                <w:lang w:val="en-GB"/>
              </w:rPr>
              <w:footnoteReference w:id="2"/>
            </w:r>
          </w:p>
        </w:tc>
        <w:tc>
          <w:tcPr>
            <w:tcW w:w="2393" w:type="dxa"/>
          </w:tcPr>
          <w:p w:rsidR="008E39DA" w:rsidRPr="006314C9" w:rsidRDefault="008E39DA" w:rsidP="00750C45">
            <w:pPr>
              <w:spacing w:beforeLines="60" w:afterLines="60"/>
              <w:contextualSpacing/>
              <w:jc w:val="center"/>
              <w:rPr>
                <w:rFonts w:cs="Times New Roman"/>
                <w:b/>
                <w:sz w:val="20"/>
                <w:szCs w:val="20"/>
                <w:lang w:val="en-GB"/>
              </w:rPr>
            </w:pPr>
            <w:r w:rsidRPr="006314C9">
              <w:rPr>
                <w:rFonts w:cs="Times New Roman"/>
                <w:b/>
                <w:sz w:val="20"/>
                <w:szCs w:val="20"/>
                <w:lang w:val="en-GB"/>
              </w:rPr>
              <w:t>Level of transposition</w:t>
            </w:r>
          </w:p>
        </w:tc>
        <w:tc>
          <w:tcPr>
            <w:tcW w:w="2395" w:type="dxa"/>
          </w:tcPr>
          <w:p w:rsidR="008E39DA" w:rsidRPr="006314C9" w:rsidRDefault="008E39DA" w:rsidP="00750C45">
            <w:pPr>
              <w:spacing w:beforeLines="60" w:afterLines="60"/>
              <w:contextualSpacing/>
              <w:jc w:val="center"/>
              <w:rPr>
                <w:rFonts w:cs="Times New Roman"/>
                <w:b/>
                <w:sz w:val="20"/>
                <w:szCs w:val="20"/>
                <w:lang w:val="en-GB"/>
              </w:rPr>
            </w:pPr>
            <w:r w:rsidRPr="006314C9">
              <w:rPr>
                <w:rFonts w:cs="Times New Roman"/>
                <w:b/>
                <w:sz w:val="20"/>
                <w:szCs w:val="20"/>
                <w:lang w:val="en-GB"/>
              </w:rPr>
              <w:t>Level of implementation</w:t>
            </w:r>
          </w:p>
        </w:tc>
      </w:tr>
      <w:tr w:rsidR="008E39DA" w:rsidRPr="006314C9" w:rsidTr="008E39DA">
        <w:tc>
          <w:tcPr>
            <w:tcW w:w="2393" w:type="dxa"/>
          </w:tcPr>
          <w:p w:rsidR="008E39DA" w:rsidRPr="006314C9" w:rsidRDefault="008E39DA" w:rsidP="00750C45">
            <w:pPr>
              <w:spacing w:beforeLines="60" w:afterLines="60"/>
              <w:contextualSpacing/>
              <w:jc w:val="left"/>
              <w:rPr>
                <w:rFonts w:cs="Times New Roman"/>
                <w:bCs/>
                <w:sz w:val="20"/>
                <w:szCs w:val="20"/>
                <w:lang w:val="en-GB"/>
              </w:rPr>
            </w:pPr>
            <w:r w:rsidRPr="006314C9">
              <w:rPr>
                <w:rFonts w:cs="Times New Roman"/>
                <w:bCs/>
                <w:sz w:val="20"/>
                <w:szCs w:val="20"/>
                <w:lang w:val="en-GB"/>
              </w:rPr>
              <w:t>2008/98/EC</w:t>
            </w:r>
          </w:p>
          <w:p w:rsidR="008E39DA" w:rsidRPr="006314C9" w:rsidRDefault="008E39DA" w:rsidP="00750C45">
            <w:pPr>
              <w:spacing w:beforeLines="60" w:afterLines="60"/>
              <w:contextualSpacing/>
              <w:jc w:val="left"/>
              <w:rPr>
                <w:rFonts w:cs="Times New Roman"/>
                <w:b/>
                <w:i/>
                <w:sz w:val="20"/>
                <w:szCs w:val="20"/>
                <w:lang w:val="en-GB"/>
              </w:rPr>
            </w:pPr>
            <w:r w:rsidRPr="006314C9">
              <w:rPr>
                <w:rFonts w:cs="Times New Roman"/>
                <w:b/>
                <w:i/>
                <w:sz w:val="20"/>
                <w:szCs w:val="20"/>
                <w:lang w:val="en-GB"/>
              </w:rPr>
              <w:t>Waste Framework</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p w:rsidR="008E39DA" w:rsidRPr="006314C9" w:rsidRDefault="008E39DA" w:rsidP="00750C45">
            <w:pPr>
              <w:spacing w:beforeLines="60" w:afterLines="60"/>
              <w:contextualSpacing/>
              <w:jc w:val="left"/>
              <w:rPr>
                <w:rFonts w:cs="Times New Roman"/>
                <w:sz w:val="20"/>
                <w:szCs w:val="20"/>
                <w:lang w:val="en-GB"/>
              </w:rPr>
            </w:pPr>
          </w:p>
        </w:tc>
        <w:tc>
          <w:tcPr>
            <w:tcW w:w="2393"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Partially;</w:t>
            </w:r>
          </w:p>
          <w:p w:rsidR="00694EE8"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34%</w:t>
            </w:r>
          </w:p>
        </w:tc>
        <w:tc>
          <w:tcPr>
            <w:tcW w:w="2395" w:type="dxa"/>
          </w:tcPr>
          <w:p w:rsidR="00694EE8"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tc>
      </w:tr>
      <w:tr w:rsidR="008E39DA" w:rsidRPr="006314C9" w:rsidTr="008E39DA">
        <w:tc>
          <w:tcPr>
            <w:tcW w:w="2393" w:type="dxa"/>
          </w:tcPr>
          <w:p w:rsidR="008E39DA" w:rsidRPr="006314C9" w:rsidRDefault="008E39DA" w:rsidP="00750C45">
            <w:pPr>
              <w:spacing w:beforeLines="60" w:afterLines="60"/>
              <w:contextualSpacing/>
              <w:jc w:val="left"/>
              <w:rPr>
                <w:rFonts w:eastAsia="Times New Roman" w:cs="Times New Roman"/>
                <w:bCs/>
                <w:sz w:val="20"/>
                <w:szCs w:val="20"/>
                <w:lang w:val="en-GB"/>
              </w:rPr>
            </w:pPr>
            <w:r w:rsidRPr="006314C9">
              <w:rPr>
                <w:rFonts w:eastAsia="Times New Roman" w:cs="Times New Roman"/>
                <w:bCs/>
                <w:sz w:val="20"/>
                <w:szCs w:val="20"/>
                <w:lang w:val="en-GB"/>
              </w:rPr>
              <w:t>86/278/EEC</w:t>
            </w:r>
          </w:p>
          <w:p w:rsidR="008E39DA" w:rsidRPr="006314C9" w:rsidRDefault="008E39DA" w:rsidP="00750C45">
            <w:pPr>
              <w:spacing w:beforeLines="60" w:afterLines="60"/>
              <w:contextualSpacing/>
              <w:jc w:val="left"/>
              <w:rPr>
                <w:rFonts w:eastAsia="Times New Roman" w:cs="Times New Roman"/>
                <w:bCs/>
                <w:sz w:val="20"/>
                <w:szCs w:val="20"/>
                <w:lang w:val="en-GB"/>
              </w:rPr>
            </w:pPr>
            <w:r w:rsidRPr="006314C9">
              <w:rPr>
                <w:rFonts w:eastAsia="Times New Roman" w:cs="Times New Roman"/>
                <w:b/>
                <w:bCs/>
                <w:i/>
                <w:sz w:val="20"/>
                <w:szCs w:val="20"/>
                <w:lang w:val="en-GB"/>
              </w:rPr>
              <w:t>Sewage Sludge</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Ministry of Agriculture and Rural Development (MARD)</w:t>
            </w:r>
          </w:p>
        </w:tc>
        <w:tc>
          <w:tcPr>
            <w:tcW w:w="2393"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Fully transposed </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p w:rsidR="00694EE8" w:rsidRPr="006314C9" w:rsidRDefault="00694EE8" w:rsidP="00750C45">
            <w:pPr>
              <w:spacing w:beforeLines="60" w:afterLines="60"/>
              <w:contextualSpacing/>
              <w:jc w:val="left"/>
              <w:rPr>
                <w:rFonts w:cs="Times New Roman"/>
                <w:sz w:val="20"/>
                <w:szCs w:val="20"/>
                <w:lang w:val="en-GB"/>
              </w:rPr>
            </w:pPr>
          </w:p>
        </w:tc>
      </w:tr>
      <w:tr w:rsidR="008E39DA" w:rsidRPr="006314C9" w:rsidTr="008E39DA">
        <w:tc>
          <w:tcPr>
            <w:tcW w:w="2393" w:type="dxa"/>
          </w:tcPr>
          <w:p w:rsidR="008E39DA" w:rsidRPr="006314C9" w:rsidRDefault="008E39DA" w:rsidP="00750C45">
            <w:pPr>
              <w:spacing w:beforeLines="60" w:afterLines="60"/>
              <w:contextualSpacing/>
              <w:jc w:val="left"/>
              <w:rPr>
                <w:rFonts w:eastAsia="Times New Roman" w:cs="Times New Roman"/>
                <w:bCs/>
                <w:sz w:val="20"/>
                <w:szCs w:val="20"/>
                <w:lang w:val="en-GB"/>
              </w:rPr>
            </w:pPr>
            <w:r w:rsidRPr="006314C9">
              <w:rPr>
                <w:rFonts w:eastAsia="Times New Roman" w:cs="Times New Roman"/>
                <w:bCs/>
                <w:sz w:val="20"/>
                <w:szCs w:val="20"/>
                <w:lang w:val="en-GB"/>
              </w:rPr>
              <w:t>2006/66/EC</w:t>
            </w:r>
          </w:p>
          <w:p w:rsidR="008E39DA" w:rsidRPr="006314C9" w:rsidRDefault="008E39DA" w:rsidP="00750C45">
            <w:pPr>
              <w:spacing w:beforeLines="60" w:afterLines="60"/>
              <w:contextualSpacing/>
              <w:jc w:val="left"/>
              <w:rPr>
                <w:rFonts w:eastAsia="Times New Roman" w:cs="Times New Roman"/>
                <w:bCs/>
                <w:sz w:val="20"/>
                <w:szCs w:val="20"/>
                <w:lang w:val="en-GB"/>
              </w:rPr>
            </w:pPr>
            <w:r w:rsidRPr="006314C9">
              <w:rPr>
                <w:rFonts w:eastAsia="Times New Roman" w:cs="Times New Roman"/>
                <w:b/>
                <w:bCs/>
                <w:i/>
                <w:sz w:val="20"/>
                <w:szCs w:val="20"/>
                <w:lang w:val="en-GB"/>
              </w:rPr>
              <w:t>Batteries</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p w:rsidR="008E39DA" w:rsidRPr="006314C9" w:rsidRDefault="008E39DA" w:rsidP="00750C45">
            <w:pPr>
              <w:spacing w:beforeLines="60" w:afterLines="60"/>
              <w:contextualSpacing/>
              <w:jc w:val="left"/>
              <w:rPr>
                <w:rFonts w:cs="Times New Roman"/>
                <w:sz w:val="20"/>
                <w:szCs w:val="20"/>
                <w:lang w:val="en-GB"/>
              </w:rPr>
            </w:pPr>
          </w:p>
        </w:tc>
        <w:tc>
          <w:tcPr>
            <w:tcW w:w="2393"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Advanced;</w:t>
            </w:r>
          </w:p>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82% </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tc>
      </w:tr>
      <w:tr w:rsidR="008E39DA" w:rsidRPr="006314C9" w:rsidTr="008E39DA">
        <w:tc>
          <w:tcPr>
            <w:tcW w:w="2393" w:type="dxa"/>
          </w:tcPr>
          <w:p w:rsidR="008E39DA" w:rsidRPr="006314C9" w:rsidRDefault="008E39DA" w:rsidP="00750C45">
            <w:pPr>
              <w:spacing w:beforeLines="60" w:afterLines="60"/>
              <w:contextualSpacing/>
              <w:jc w:val="left"/>
              <w:rPr>
                <w:rFonts w:eastAsia="Times New Roman" w:cs="Times New Roman"/>
                <w:bCs/>
                <w:sz w:val="20"/>
                <w:szCs w:val="20"/>
                <w:lang w:val="en-GB"/>
              </w:rPr>
            </w:pPr>
            <w:r w:rsidRPr="006314C9">
              <w:rPr>
                <w:rFonts w:eastAsia="Times New Roman" w:cs="Times New Roman"/>
                <w:bCs/>
                <w:sz w:val="20"/>
                <w:szCs w:val="20"/>
                <w:lang w:val="en-GB"/>
              </w:rPr>
              <w:t>94/62/EC</w:t>
            </w:r>
          </w:p>
          <w:p w:rsidR="008E39DA" w:rsidRPr="006314C9" w:rsidRDefault="008E39DA" w:rsidP="00750C45">
            <w:pPr>
              <w:spacing w:beforeLines="60" w:afterLines="60"/>
              <w:contextualSpacing/>
              <w:jc w:val="left"/>
              <w:rPr>
                <w:rFonts w:eastAsia="Times New Roman" w:cs="Times New Roman"/>
                <w:sz w:val="20"/>
                <w:szCs w:val="20"/>
                <w:lang w:val="en-GB"/>
              </w:rPr>
            </w:pPr>
            <w:r w:rsidRPr="006314C9">
              <w:rPr>
                <w:rFonts w:eastAsia="Times New Roman" w:cs="Times New Roman"/>
                <w:b/>
                <w:bCs/>
                <w:i/>
                <w:sz w:val="20"/>
                <w:szCs w:val="20"/>
                <w:lang w:val="en-GB"/>
              </w:rPr>
              <w:t>Packaging</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p w:rsidR="008E39DA" w:rsidRPr="006314C9" w:rsidRDefault="008E39DA" w:rsidP="00750C45">
            <w:pPr>
              <w:spacing w:beforeLines="60" w:afterLines="60"/>
              <w:contextualSpacing/>
              <w:jc w:val="left"/>
              <w:rPr>
                <w:rFonts w:cs="Times New Roman"/>
                <w:sz w:val="20"/>
                <w:szCs w:val="20"/>
                <w:lang w:val="en-GB"/>
              </w:rPr>
            </w:pPr>
          </w:p>
        </w:tc>
        <w:tc>
          <w:tcPr>
            <w:tcW w:w="2393"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Advanced;</w:t>
            </w:r>
          </w:p>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81% </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Initial stage </w:t>
            </w:r>
          </w:p>
        </w:tc>
      </w:tr>
      <w:tr w:rsidR="008E39DA" w:rsidRPr="006314C9" w:rsidTr="008E39DA">
        <w:tc>
          <w:tcPr>
            <w:tcW w:w="2393" w:type="dxa"/>
          </w:tcPr>
          <w:p w:rsidR="008E39DA" w:rsidRPr="006314C9" w:rsidRDefault="008E39DA" w:rsidP="00750C45">
            <w:pPr>
              <w:tabs>
                <w:tab w:val="left" w:pos="0"/>
              </w:tabs>
              <w:spacing w:beforeLines="60" w:afterLines="60"/>
              <w:contextualSpacing/>
              <w:rPr>
                <w:rFonts w:cs="Times New Roman"/>
                <w:sz w:val="20"/>
                <w:szCs w:val="20"/>
                <w:lang w:val="en-GB"/>
              </w:rPr>
            </w:pPr>
            <w:r w:rsidRPr="006314C9">
              <w:rPr>
                <w:rFonts w:cs="Times New Roman"/>
                <w:sz w:val="20"/>
                <w:szCs w:val="20"/>
                <w:lang w:val="en-GB"/>
              </w:rPr>
              <w:t>96/59/EC</w:t>
            </w:r>
          </w:p>
          <w:p w:rsidR="008E39DA" w:rsidRPr="006314C9" w:rsidRDefault="008E39DA" w:rsidP="00750C45">
            <w:pPr>
              <w:spacing w:beforeLines="60" w:afterLines="60"/>
              <w:contextualSpacing/>
              <w:jc w:val="left"/>
              <w:rPr>
                <w:rFonts w:eastAsia="Times New Roman" w:cs="Times New Roman"/>
                <w:bCs/>
                <w:sz w:val="20"/>
                <w:szCs w:val="20"/>
                <w:lang w:val="en-GB" w:eastAsia="fr-FR"/>
              </w:rPr>
            </w:pPr>
            <w:r w:rsidRPr="006314C9">
              <w:rPr>
                <w:rFonts w:eastAsiaTheme="minorHAnsi" w:cs="Times New Roman"/>
                <w:b/>
                <w:i/>
                <w:sz w:val="20"/>
                <w:szCs w:val="20"/>
                <w:lang w:val="en-GB"/>
              </w:rPr>
              <w:t>PCB/PCT</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NEA</w:t>
            </w:r>
          </w:p>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MIE</w:t>
            </w:r>
          </w:p>
        </w:tc>
        <w:tc>
          <w:tcPr>
            <w:tcW w:w="2393"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Advanced;</w:t>
            </w:r>
          </w:p>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87%</w:t>
            </w:r>
          </w:p>
        </w:tc>
        <w:tc>
          <w:tcPr>
            <w:tcW w:w="2395" w:type="dxa"/>
          </w:tcPr>
          <w:p w:rsidR="008E39DA" w:rsidRPr="006314C9" w:rsidRDefault="008E39DA" w:rsidP="00750C45">
            <w:pPr>
              <w:spacing w:beforeLines="60" w:afterLines="60"/>
              <w:contextualSpacing/>
              <w:jc w:val="left"/>
              <w:rPr>
                <w:rFonts w:eastAsia="Times New Roman" w:cs="Times New Roman"/>
                <w:color w:val="000000"/>
                <w:sz w:val="20"/>
                <w:szCs w:val="20"/>
                <w:lang w:val="en-GB"/>
              </w:rPr>
            </w:pPr>
            <w:r w:rsidRPr="006314C9">
              <w:rPr>
                <w:rFonts w:cs="Times New Roman"/>
                <w:sz w:val="20"/>
                <w:szCs w:val="20"/>
                <w:lang w:val="en-GB"/>
              </w:rPr>
              <w:t>Initial stage</w:t>
            </w:r>
          </w:p>
        </w:tc>
      </w:tr>
      <w:tr w:rsidR="00886B9C" w:rsidRPr="006314C9" w:rsidTr="008E39DA">
        <w:tc>
          <w:tcPr>
            <w:tcW w:w="2393" w:type="dxa"/>
          </w:tcPr>
          <w:p w:rsidR="00886B9C" w:rsidRPr="006314C9" w:rsidRDefault="00B95D6A" w:rsidP="00750C45">
            <w:pPr>
              <w:spacing w:beforeLines="60" w:afterLines="60"/>
              <w:contextualSpacing/>
              <w:jc w:val="left"/>
              <w:rPr>
                <w:rFonts w:eastAsia="Times New Roman" w:cs="Times New Roman"/>
                <w:bCs/>
                <w:sz w:val="20"/>
                <w:szCs w:val="20"/>
                <w:lang w:val="en-GB" w:eastAsia="fr-FR"/>
              </w:rPr>
            </w:pPr>
            <w:r w:rsidRPr="006314C9">
              <w:rPr>
                <w:rFonts w:cs="Times New Roman"/>
                <w:bCs/>
                <w:sz w:val="20"/>
                <w:szCs w:val="20"/>
                <w:lang w:val="en-GB"/>
              </w:rPr>
              <w:t>EC/850/2004</w:t>
            </w:r>
          </w:p>
          <w:p w:rsidR="00886B9C" w:rsidRPr="006314C9" w:rsidRDefault="00B95D6A" w:rsidP="00750C45">
            <w:pPr>
              <w:spacing w:beforeLines="60" w:afterLines="60"/>
              <w:contextualSpacing/>
              <w:jc w:val="left"/>
              <w:rPr>
                <w:rFonts w:eastAsia="Times New Roman" w:cs="Times New Roman"/>
                <w:bCs/>
                <w:sz w:val="20"/>
                <w:szCs w:val="20"/>
                <w:lang w:val="en-GB" w:eastAsia="fr-FR"/>
              </w:rPr>
            </w:pPr>
            <w:r w:rsidRPr="006314C9">
              <w:rPr>
                <w:rFonts w:eastAsia="Times New Roman" w:cs="Times New Roman"/>
                <w:b/>
                <w:bCs/>
                <w:sz w:val="20"/>
                <w:szCs w:val="20"/>
                <w:lang w:val="en-GB" w:eastAsia="fr-FR"/>
              </w:rPr>
              <w:t>POPs</w:t>
            </w:r>
          </w:p>
        </w:tc>
        <w:tc>
          <w:tcPr>
            <w:tcW w:w="2395" w:type="dxa"/>
          </w:tcPr>
          <w:p w:rsidR="00886B9C" w:rsidRPr="006314C9" w:rsidRDefault="00B95D6A"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p w:rsidR="00886B9C" w:rsidRPr="006314C9" w:rsidRDefault="00886B9C" w:rsidP="00750C45">
            <w:pPr>
              <w:spacing w:beforeLines="60" w:afterLines="60"/>
              <w:contextualSpacing/>
              <w:jc w:val="left"/>
              <w:rPr>
                <w:rFonts w:cs="Times New Roman"/>
                <w:sz w:val="20"/>
                <w:szCs w:val="20"/>
                <w:lang w:val="en-GB"/>
              </w:rPr>
            </w:pPr>
          </w:p>
        </w:tc>
        <w:tc>
          <w:tcPr>
            <w:tcW w:w="2393" w:type="dxa"/>
          </w:tcPr>
          <w:p w:rsidR="00886B9C" w:rsidRPr="006314C9" w:rsidRDefault="00935692" w:rsidP="00750C45">
            <w:pPr>
              <w:spacing w:beforeLines="60" w:afterLines="60"/>
              <w:contextualSpacing/>
              <w:jc w:val="left"/>
              <w:rPr>
                <w:rFonts w:cs="Times New Roman"/>
                <w:sz w:val="20"/>
                <w:szCs w:val="20"/>
                <w:lang w:val="en-GB"/>
              </w:rPr>
            </w:pPr>
            <w:r w:rsidRPr="006314C9">
              <w:rPr>
                <w:rFonts w:cs="Times New Roman"/>
                <w:sz w:val="20"/>
                <w:szCs w:val="20"/>
                <w:lang w:val="en-GB"/>
              </w:rPr>
              <w:t>Partially</w:t>
            </w:r>
            <w:r w:rsidR="00B95D6A" w:rsidRPr="006314C9">
              <w:rPr>
                <w:rFonts w:cs="Times New Roman"/>
                <w:sz w:val="20"/>
                <w:szCs w:val="20"/>
                <w:lang w:val="en-GB"/>
              </w:rPr>
              <w:t>;</w:t>
            </w:r>
          </w:p>
          <w:p w:rsidR="00886B9C" w:rsidRPr="006314C9" w:rsidRDefault="00935692" w:rsidP="00750C45">
            <w:pPr>
              <w:spacing w:beforeLines="60" w:afterLines="60"/>
              <w:contextualSpacing/>
              <w:jc w:val="left"/>
              <w:rPr>
                <w:rFonts w:cs="Times New Roman"/>
                <w:sz w:val="20"/>
                <w:szCs w:val="20"/>
                <w:lang w:val="en-GB"/>
              </w:rPr>
            </w:pPr>
            <w:r w:rsidRPr="006314C9">
              <w:rPr>
                <w:rFonts w:cs="Times New Roman"/>
                <w:sz w:val="20"/>
                <w:szCs w:val="20"/>
                <w:lang w:val="en-GB"/>
              </w:rPr>
              <w:t>58</w:t>
            </w:r>
            <w:r w:rsidR="00D62A22" w:rsidRPr="006314C9">
              <w:rPr>
                <w:rFonts w:cs="Times New Roman"/>
                <w:sz w:val="20"/>
                <w:szCs w:val="20"/>
                <w:lang w:val="en-GB"/>
              </w:rPr>
              <w:t xml:space="preserve"> %</w:t>
            </w:r>
          </w:p>
        </w:tc>
        <w:tc>
          <w:tcPr>
            <w:tcW w:w="2395" w:type="dxa"/>
          </w:tcPr>
          <w:p w:rsidR="00886B9C" w:rsidRPr="006314C9" w:rsidRDefault="00B95D6A"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p w:rsidR="00694EE8" w:rsidRPr="006314C9" w:rsidRDefault="00694EE8" w:rsidP="00750C45">
            <w:pPr>
              <w:spacing w:beforeLines="60" w:afterLines="60"/>
              <w:contextualSpacing/>
              <w:jc w:val="left"/>
              <w:rPr>
                <w:rFonts w:eastAsia="Times New Roman" w:cs="Times New Roman"/>
                <w:color w:val="000000"/>
                <w:sz w:val="20"/>
                <w:szCs w:val="20"/>
                <w:lang w:val="en-GB"/>
              </w:rPr>
            </w:pPr>
          </w:p>
        </w:tc>
      </w:tr>
      <w:tr w:rsidR="008E39DA" w:rsidRPr="006314C9" w:rsidTr="008E39DA">
        <w:tc>
          <w:tcPr>
            <w:tcW w:w="2393" w:type="dxa"/>
          </w:tcPr>
          <w:p w:rsidR="008E39DA" w:rsidRPr="006314C9" w:rsidRDefault="008E39DA" w:rsidP="00750C45">
            <w:pPr>
              <w:spacing w:beforeLines="60" w:afterLines="60"/>
              <w:contextualSpacing/>
              <w:jc w:val="left"/>
              <w:rPr>
                <w:rFonts w:eastAsia="Times New Roman" w:cs="Times New Roman"/>
                <w:bCs/>
                <w:sz w:val="20"/>
                <w:szCs w:val="20"/>
                <w:lang w:val="en-GB"/>
              </w:rPr>
            </w:pPr>
            <w:r w:rsidRPr="006314C9">
              <w:rPr>
                <w:rFonts w:eastAsia="Times New Roman" w:cs="Times New Roman"/>
                <w:bCs/>
                <w:sz w:val="20"/>
                <w:szCs w:val="20"/>
                <w:lang w:val="en-GB"/>
              </w:rPr>
              <w:t>2000/53/EC</w:t>
            </w:r>
          </w:p>
          <w:p w:rsidR="008E39DA" w:rsidRPr="006314C9" w:rsidRDefault="008E39DA" w:rsidP="00750C45">
            <w:pPr>
              <w:spacing w:beforeLines="60" w:afterLines="60"/>
              <w:contextualSpacing/>
              <w:jc w:val="left"/>
              <w:rPr>
                <w:rFonts w:eastAsia="Times New Roman" w:cs="Times New Roman"/>
                <w:sz w:val="20"/>
                <w:szCs w:val="20"/>
                <w:lang w:val="en-GB"/>
              </w:rPr>
            </w:pPr>
            <w:r w:rsidRPr="006314C9">
              <w:rPr>
                <w:rFonts w:eastAsia="Times New Roman" w:cs="Times New Roman"/>
                <w:b/>
                <w:bCs/>
                <w:i/>
                <w:sz w:val="20"/>
                <w:szCs w:val="20"/>
                <w:lang w:val="en-GB"/>
              </w:rPr>
              <w:t>ELVs</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MIE</w:t>
            </w:r>
          </w:p>
        </w:tc>
        <w:tc>
          <w:tcPr>
            <w:tcW w:w="2393"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Advanced;</w:t>
            </w:r>
          </w:p>
          <w:p w:rsidR="008E39DA" w:rsidRPr="006314C9" w:rsidRDefault="00B95D6A" w:rsidP="00750C45">
            <w:pPr>
              <w:spacing w:beforeLines="60" w:afterLines="60"/>
              <w:contextualSpacing/>
              <w:jc w:val="left"/>
              <w:rPr>
                <w:rFonts w:cs="Times New Roman"/>
                <w:sz w:val="20"/>
                <w:szCs w:val="20"/>
                <w:lang w:val="en-GB"/>
              </w:rPr>
            </w:pPr>
            <w:r w:rsidRPr="006314C9">
              <w:rPr>
                <w:rFonts w:cs="Times New Roman"/>
                <w:sz w:val="20"/>
                <w:szCs w:val="20"/>
                <w:lang w:val="en-GB"/>
              </w:rPr>
              <w:t>7</w:t>
            </w:r>
            <w:r w:rsidR="00935692" w:rsidRPr="006314C9">
              <w:rPr>
                <w:rFonts w:cs="Times New Roman"/>
                <w:sz w:val="20"/>
                <w:szCs w:val="20"/>
                <w:lang w:val="en-GB"/>
              </w:rPr>
              <w:t>4</w:t>
            </w:r>
            <w:r w:rsidR="008E39DA" w:rsidRPr="006314C9">
              <w:rPr>
                <w:rFonts w:cs="Times New Roman"/>
                <w:sz w:val="20"/>
                <w:szCs w:val="20"/>
                <w:lang w:val="en-GB"/>
              </w:rPr>
              <w:t xml:space="preserve">% </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p w:rsidR="00694EE8" w:rsidRPr="006314C9" w:rsidRDefault="00694EE8" w:rsidP="00750C45">
            <w:pPr>
              <w:spacing w:beforeLines="60" w:afterLines="60"/>
              <w:contextualSpacing/>
              <w:jc w:val="left"/>
              <w:rPr>
                <w:rFonts w:cs="Times New Roman"/>
                <w:sz w:val="20"/>
                <w:szCs w:val="20"/>
                <w:lang w:val="en-GB"/>
              </w:rPr>
            </w:pPr>
          </w:p>
        </w:tc>
      </w:tr>
      <w:tr w:rsidR="00886B9C" w:rsidRPr="006314C9" w:rsidTr="008E39DA">
        <w:tc>
          <w:tcPr>
            <w:tcW w:w="2393" w:type="dxa"/>
          </w:tcPr>
          <w:p w:rsidR="00886B9C" w:rsidRPr="006314C9" w:rsidRDefault="00886B9C" w:rsidP="00750C45">
            <w:pPr>
              <w:spacing w:beforeLines="60" w:afterLines="60"/>
              <w:contextualSpacing/>
              <w:jc w:val="left"/>
              <w:rPr>
                <w:rFonts w:cs="Times New Roman"/>
                <w:bCs/>
                <w:sz w:val="20"/>
                <w:szCs w:val="20"/>
                <w:lang w:val="en-GB"/>
              </w:rPr>
            </w:pPr>
            <w:r w:rsidRPr="006314C9">
              <w:rPr>
                <w:rFonts w:cs="Times New Roman"/>
                <w:bCs/>
                <w:sz w:val="20"/>
                <w:szCs w:val="20"/>
                <w:lang w:val="en-GB"/>
              </w:rPr>
              <w:t>2011/65/EU</w:t>
            </w:r>
          </w:p>
          <w:p w:rsidR="00886B9C" w:rsidRPr="006314C9" w:rsidRDefault="00886B9C" w:rsidP="00750C45">
            <w:pPr>
              <w:spacing w:beforeLines="60" w:afterLines="60"/>
              <w:contextualSpacing/>
              <w:jc w:val="left"/>
              <w:rPr>
                <w:rFonts w:eastAsia="Times New Roman" w:cs="Times New Roman"/>
                <w:bCs/>
                <w:sz w:val="20"/>
                <w:szCs w:val="20"/>
                <w:lang w:val="en-GB"/>
              </w:rPr>
            </w:pPr>
            <w:proofErr w:type="spellStart"/>
            <w:r w:rsidRPr="006314C9">
              <w:rPr>
                <w:rFonts w:cs="Times New Roman"/>
                <w:b/>
                <w:bCs/>
                <w:i/>
                <w:sz w:val="20"/>
                <w:szCs w:val="20"/>
                <w:lang w:val="en-GB"/>
              </w:rPr>
              <w:t>RoHS</w:t>
            </w:r>
            <w:proofErr w:type="spellEnd"/>
            <w:r w:rsidRPr="006314C9">
              <w:rPr>
                <w:rFonts w:cs="Times New Roman"/>
                <w:b/>
                <w:bCs/>
                <w:i/>
                <w:sz w:val="20"/>
                <w:szCs w:val="20"/>
                <w:lang w:val="en-GB"/>
              </w:rPr>
              <w:t xml:space="preserve"> (recast)</w:t>
            </w:r>
          </w:p>
        </w:tc>
        <w:tc>
          <w:tcPr>
            <w:tcW w:w="2395" w:type="dxa"/>
          </w:tcPr>
          <w:p w:rsidR="00886B9C" w:rsidRPr="006314C9" w:rsidRDefault="00886B9C"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p w:rsidR="00886B9C" w:rsidRPr="006314C9" w:rsidRDefault="00886B9C" w:rsidP="00750C45">
            <w:pPr>
              <w:spacing w:beforeLines="60" w:afterLines="60"/>
              <w:contextualSpacing/>
              <w:jc w:val="left"/>
              <w:rPr>
                <w:rFonts w:cs="Times New Roman"/>
                <w:sz w:val="20"/>
                <w:szCs w:val="20"/>
                <w:lang w:val="en-GB"/>
              </w:rPr>
            </w:pPr>
          </w:p>
        </w:tc>
        <w:tc>
          <w:tcPr>
            <w:tcW w:w="2393" w:type="dxa"/>
          </w:tcPr>
          <w:p w:rsidR="00886B9C" w:rsidRPr="006314C9" w:rsidRDefault="00886B9C" w:rsidP="00750C45">
            <w:pPr>
              <w:spacing w:beforeLines="60" w:afterLines="60"/>
              <w:contextualSpacing/>
              <w:jc w:val="left"/>
              <w:rPr>
                <w:rFonts w:cs="Times New Roman"/>
                <w:sz w:val="20"/>
                <w:szCs w:val="20"/>
                <w:lang w:val="en-GB"/>
              </w:rPr>
            </w:pPr>
            <w:r w:rsidRPr="006314C9">
              <w:rPr>
                <w:rFonts w:cs="Times New Roman"/>
                <w:sz w:val="20"/>
                <w:szCs w:val="20"/>
                <w:lang w:val="en-GB"/>
              </w:rPr>
              <w:t>Not transposed;</w:t>
            </w:r>
          </w:p>
          <w:p w:rsidR="00886B9C" w:rsidRPr="006314C9" w:rsidRDefault="00886B9C" w:rsidP="00750C45">
            <w:pPr>
              <w:spacing w:beforeLines="60" w:afterLines="60"/>
              <w:contextualSpacing/>
              <w:jc w:val="left"/>
              <w:rPr>
                <w:rFonts w:cs="Times New Roman"/>
                <w:sz w:val="20"/>
                <w:szCs w:val="20"/>
                <w:lang w:val="en-GB"/>
              </w:rPr>
            </w:pPr>
            <w:r w:rsidRPr="006314C9">
              <w:rPr>
                <w:rFonts w:cs="Times New Roman"/>
                <w:sz w:val="20"/>
                <w:szCs w:val="20"/>
                <w:lang w:val="en-GB"/>
              </w:rPr>
              <w:t>3%</w:t>
            </w:r>
          </w:p>
        </w:tc>
        <w:tc>
          <w:tcPr>
            <w:tcW w:w="2395" w:type="dxa"/>
          </w:tcPr>
          <w:p w:rsidR="00886B9C" w:rsidRPr="006314C9" w:rsidRDefault="00935692" w:rsidP="00750C45">
            <w:pPr>
              <w:spacing w:beforeLines="60" w:afterLines="60"/>
              <w:contextualSpacing/>
              <w:jc w:val="left"/>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8E39DA" w:rsidRPr="006314C9" w:rsidTr="008E39DA">
        <w:tc>
          <w:tcPr>
            <w:tcW w:w="2393" w:type="dxa"/>
          </w:tcPr>
          <w:p w:rsidR="008E39DA" w:rsidRPr="006314C9" w:rsidRDefault="008E39DA" w:rsidP="00750C45">
            <w:pPr>
              <w:spacing w:beforeLines="60" w:afterLines="60"/>
              <w:contextualSpacing/>
              <w:jc w:val="left"/>
              <w:rPr>
                <w:rFonts w:eastAsia="Times New Roman" w:cs="Times New Roman"/>
                <w:bCs/>
                <w:sz w:val="20"/>
                <w:szCs w:val="20"/>
                <w:lang w:val="en-GB"/>
              </w:rPr>
            </w:pPr>
            <w:r w:rsidRPr="006314C9">
              <w:rPr>
                <w:rFonts w:eastAsia="Times New Roman" w:cs="Times New Roman"/>
                <w:bCs/>
                <w:sz w:val="20"/>
                <w:szCs w:val="20"/>
                <w:lang w:val="en-GB"/>
              </w:rPr>
              <w:t>2012/19/EU</w:t>
            </w:r>
          </w:p>
          <w:p w:rsidR="008E39DA" w:rsidRPr="006314C9" w:rsidRDefault="008E39DA" w:rsidP="00750C45">
            <w:pPr>
              <w:spacing w:beforeLines="60" w:afterLines="60"/>
              <w:contextualSpacing/>
              <w:jc w:val="left"/>
              <w:rPr>
                <w:rFonts w:eastAsia="Times New Roman" w:cs="Times New Roman"/>
                <w:sz w:val="20"/>
                <w:szCs w:val="20"/>
                <w:lang w:val="en-GB"/>
              </w:rPr>
            </w:pPr>
            <w:r w:rsidRPr="006314C9">
              <w:rPr>
                <w:rFonts w:eastAsia="Times New Roman" w:cs="Times New Roman"/>
                <w:b/>
                <w:bCs/>
                <w:i/>
                <w:sz w:val="20"/>
                <w:szCs w:val="20"/>
                <w:lang w:val="en-GB"/>
              </w:rPr>
              <w:t>WEEE</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p w:rsidR="008E39DA" w:rsidRPr="006314C9" w:rsidRDefault="008E39DA" w:rsidP="00750C45">
            <w:pPr>
              <w:spacing w:beforeLines="60" w:afterLines="60"/>
              <w:contextualSpacing/>
              <w:jc w:val="left"/>
              <w:rPr>
                <w:rFonts w:cs="Times New Roman"/>
                <w:sz w:val="20"/>
                <w:szCs w:val="20"/>
                <w:lang w:val="en-GB"/>
              </w:rPr>
            </w:pPr>
          </w:p>
        </w:tc>
        <w:tc>
          <w:tcPr>
            <w:tcW w:w="2393"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Partially;</w:t>
            </w:r>
          </w:p>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38% </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eastAsia="Times New Roman" w:cs="Times New Roman"/>
                <w:color w:val="000000"/>
                <w:sz w:val="20"/>
                <w:szCs w:val="20"/>
                <w:lang w:val="en-GB"/>
              </w:rPr>
              <w:t xml:space="preserve">Not </w:t>
            </w:r>
            <w:r w:rsidR="00935692" w:rsidRPr="006314C9">
              <w:rPr>
                <w:rFonts w:eastAsia="Times New Roman" w:cs="Times New Roman"/>
                <w:color w:val="000000"/>
                <w:sz w:val="20"/>
                <w:szCs w:val="20"/>
                <w:lang w:val="en-GB"/>
              </w:rPr>
              <w:t>implemented</w:t>
            </w:r>
          </w:p>
        </w:tc>
      </w:tr>
      <w:tr w:rsidR="008E39DA" w:rsidRPr="006314C9" w:rsidTr="008E39DA">
        <w:tc>
          <w:tcPr>
            <w:tcW w:w="2393" w:type="dxa"/>
          </w:tcPr>
          <w:p w:rsidR="008E39DA" w:rsidRPr="006314C9" w:rsidRDefault="008E39DA" w:rsidP="00750C45">
            <w:pPr>
              <w:spacing w:beforeLines="60" w:afterLines="60"/>
              <w:contextualSpacing/>
              <w:jc w:val="left"/>
              <w:rPr>
                <w:rFonts w:eastAsia="Times New Roman" w:cs="Times New Roman"/>
                <w:sz w:val="20"/>
                <w:szCs w:val="20"/>
                <w:lang w:val="en-GB"/>
              </w:rPr>
            </w:pPr>
            <w:r w:rsidRPr="006314C9">
              <w:rPr>
                <w:rFonts w:cs="Times New Roman"/>
                <w:bCs/>
                <w:sz w:val="20"/>
                <w:szCs w:val="20"/>
                <w:lang w:val="en-GB"/>
              </w:rPr>
              <w:t>1999/31/EC</w:t>
            </w:r>
          </w:p>
          <w:p w:rsidR="008E39DA" w:rsidRPr="006314C9" w:rsidRDefault="008E39DA" w:rsidP="00750C45">
            <w:pPr>
              <w:spacing w:beforeLines="60" w:afterLines="60"/>
              <w:contextualSpacing/>
              <w:jc w:val="left"/>
              <w:rPr>
                <w:rFonts w:eastAsia="Times New Roman" w:cs="Times New Roman"/>
                <w:bCs/>
                <w:sz w:val="20"/>
                <w:szCs w:val="20"/>
                <w:lang w:val="en-GB"/>
              </w:rPr>
            </w:pPr>
            <w:r w:rsidRPr="006314C9">
              <w:rPr>
                <w:rFonts w:eastAsia="Times New Roman" w:cs="Times New Roman"/>
                <w:b/>
                <w:i/>
                <w:sz w:val="20"/>
                <w:szCs w:val="20"/>
                <w:lang w:val="en-GB"/>
              </w:rPr>
              <w:t>Landfill</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p w:rsidR="008E39DA" w:rsidRPr="006314C9" w:rsidRDefault="008E39DA" w:rsidP="00750C45">
            <w:pPr>
              <w:spacing w:beforeLines="60" w:afterLines="60"/>
              <w:contextualSpacing/>
              <w:jc w:val="left"/>
              <w:rPr>
                <w:rFonts w:cs="Times New Roman"/>
                <w:sz w:val="20"/>
                <w:szCs w:val="20"/>
                <w:lang w:val="en-GB"/>
              </w:rPr>
            </w:pPr>
          </w:p>
        </w:tc>
        <w:tc>
          <w:tcPr>
            <w:tcW w:w="2393"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Advanced;</w:t>
            </w:r>
          </w:p>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81% </w:t>
            </w:r>
          </w:p>
        </w:tc>
        <w:tc>
          <w:tcPr>
            <w:tcW w:w="2395" w:type="dxa"/>
          </w:tcPr>
          <w:p w:rsidR="00694EE8"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tc>
      </w:tr>
      <w:tr w:rsidR="00886B9C" w:rsidRPr="006314C9" w:rsidTr="008E39DA">
        <w:tc>
          <w:tcPr>
            <w:tcW w:w="2393" w:type="dxa"/>
          </w:tcPr>
          <w:p w:rsidR="00886B9C" w:rsidRPr="006314C9" w:rsidRDefault="00886B9C" w:rsidP="00750C45">
            <w:pPr>
              <w:spacing w:beforeLines="60" w:afterLines="60"/>
              <w:contextualSpacing/>
              <w:jc w:val="left"/>
              <w:rPr>
                <w:rFonts w:eastAsiaTheme="minorHAnsi" w:cs="Times New Roman"/>
                <w:bCs/>
                <w:sz w:val="20"/>
                <w:szCs w:val="20"/>
                <w:lang w:val="en-GB"/>
              </w:rPr>
            </w:pPr>
            <w:r w:rsidRPr="006314C9">
              <w:rPr>
                <w:rFonts w:eastAsia="Times New Roman" w:cs="Times New Roman"/>
                <w:bCs/>
                <w:sz w:val="20"/>
                <w:szCs w:val="20"/>
                <w:lang w:val="en-GB"/>
              </w:rPr>
              <w:t>EC/1013/2006</w:t>
            </w:r>
          </w:p>
          <w:p w:rsidR="00886B9C" w:rsidRPr="006314C9" w:rsidRDefault="00886B9C" w:rsidP="00750C45">
            <w:pPr>
              <w:spacing w:beforeLines="60" w:afterLines="60"/>
              <w:contextualSpacing/>
              <w:jc w:val="left"/>
              <w:rPr>
                <w:rFonts w:eastAsia="Times New Roman" w:cs="Times New Roman"/>
                <w:bCs/>
                <w:sz w:val="20"/>
                <w:szCs w:val="20"/>
                <w:lang w:val="en-GB"/>
              </w:rPr>
            </w:pPr>
            <w:r w:rsidRPr="006314C9">
              <w:rPr>
                <w:rFonts w:eastAsiaTheme="minorHAnsi" w:cs="Times New Roman"/>
                <w:b/>
                <w:bCs/>
                <w:i/>
                <w:sz w:val="20"/>
                <w:szCs w:val="20"/>
                <w:lang w:val="en-GB"/>
              </w:rPr>
              <w:t>Shipments of Waste</w:t>
            </w:r>
          </w:p>
        </w:tc>
        <w:tc>
          <w:tcPr>
            <w:tcW w:w="2395" w:type="dxa"/>
          </w:tcPr>
          <w:p w:rsidR="00886B9C" w:rsidRPr="006314C9" w:rsidRDefault="00886B9C"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tc>
        <w:tc>
          <w:tcPr>
            <w:tcW w:w="2393" w:type="dxa"/>
          </w:tcPr>
          <w:p w:rsidR="00886B9C" w:rsidRPr="006314C9" w:rsidRDefault="00886B9C"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p w:rsidR="00886B9C" w:rsidRPr="006314C9" w:rsidRDefault="00886B9C" w:rsidP="00750C45">
            <w:pPr>
              <w:spacing w:beforeLines="60" w:afterLines="60"/>
              <w:contextualSpacing/>
              <w:jc w:val="left"/>
              <w:rPr>
                <w:rFonts w:cs="Times New Roman"/>
                <w:sz w:val="20"/>
                <w:szCs w:val="20"/>
                <w:lang w:val="en-GB"/>
              </w:rPr>
            </w:pPr>
            <w:r w:rsidRPr="006314C9">
              <w:rPr>
                <w:rFonts w:cs="Times New Roman"/>
                <w:sz w:val="20"/>
                <w:szCs w:val="20"/>
                <w:lang w:val="en-GB"/>
              </w:rPr>
              <w:t>12%</w:t>
            </w:r>
          </w:p>
        </w:tc>
        <w:tc>
          <w:tcPr>
            <w:tcW w:w="2395" w:type="dxa"/>
          </w:tcPr>
          <w:p w:rsidR="00886B9C" w:rsidRPr="006314C9" w:rsidRDefault="00886B9C" w:rsidP="00750C45">
            <w:pPr>
              <w:spacing w:beforeLines="60" w:afterLines="60"/>
              <w:contextualSpacing/>
              <w:jc w:val="left"/>
              <w:rPr>
                <w:rFonts w:cs="Times New Roman"/>
                <w:sz w:val="20"/>
                <w:szCs w:val="20"/>
                <w:lang w:val="en-GB"/>
              </w:rPr>
            </w:pPr>
            <w:proofErr w:type="spellStart"/>
            <w:r w:rsidRPr="006314C9">
              <w:rPr>
                <w:rFonts w:cs="Times New Roman"/>
                <w:sz w:val="20"/>
                <w:szCs w:val="20"/>
                <w:lang w:val="en-GB"/>
              </w:rPr>
              <w:t>Initialstage</w:t>
            </w:r>
            <w:proofErr w:type="spellEnd"/>
          </w:p>
        </w:tc>
      </w:tr>
      <w:tr w:rsidR="008E39DA" w:rsidRPr="006314C9" w:rsidTr="008E39DA">
        <w:tc>
          <w:tcPr>
            <w:tcW w:w="2393" w:type="dxa"/>
          </w:tcPr>
          <w:p w:rsidR="008E39DA" w:rsidRPr="006314C9" w:rsidRDefault="008E39DA" w:rsidP="00750C45">
            <w:pPr>
              <w:spacing w:beforeLines="60" w:afterLines="60"/>
              <w:contextualSpacing/>
              <w:jc w:val="left"/>
              <w:rPr>
                <w:rFonts w:eastAsia="Times New Roman" w:cs="Times New Roman"/>
                <w:bCs/>
                <w:sz w:val="20"/>
                <w:szCs w:val="20"/>
                <w:lang w:val="en-GB"/>
              </w:rPr>
            </w:pPr>
            <w:r w:rsidRPr="006314C9">
              <w:rPr>
                <w:rFonts w:eastAsia="Times New Roman" w:cs="Times New Roman"/>
                <w:bCs/>
                <w:sz w:val="20"/>
                <w:szCs w:val="20"/>
                <w:lang w:val="en-GB"/>
              </w:rPr>
              <w:t>2006/21/EC</w:t>
            </w:r>
          </w:p>
          <w:p w:rsidR="008E39DA" w:rsidRPr="006314C9" w:rsidRDefault="008E39DA" w:rsidP="00750C45">
            <w:pPr>
              <w:spacing w:beforeLines="60" w:afterLines="60"/>
              <w:contextualSpacing/>
              <w:jc w:val="left"/>
              <w:rPr>
                <w:rFonts w:eastAsia="Times New Roman" w:cs="Times New Roman"/>
                <w:bCs/>
                <w:sz w:val="20"/>
                <w:szCs w:val="20"/>
                <w:lang w:val="en-GB"/>
              </w:rPr>
            </w:pPr>
            <w:r w:rsidRPr="006314C9">
              <w:rPr>
                <w:rFonts w:eastAsia="Times New Roman" w:cs="Times New Roman"/>
                <w:b/>
                <w:bCs/>
                <w:i/>
                <w:sz w:val="20"/>
                <w:szCs w:val="20"/>
                <w:lang w:val="en-GB"/>
              </w:rPr>
              <w:t>Mining Waste</w:t>
            </w:r>
          </w:p>
        </w:tc>
        <w:tc>
          <w:tcPr>
            <w:tcW w:w="2395"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MIE</w:t>
            </w:r>
          </w:p>
          <w:p w:rsidR="008E39DA" w:rsidRPr="006314C9" w:rsidRDefault="008E39DA" w:rsidP="00750C45">
            <w:pPr>
              <w:spacing w:beforeLines="60" w:afterLines="60"/>
              <w:contextualSpacing/>
              <w:jc w:val="left"/>
              <w:rPr>
                <w:rFonts w:cs="Times New Roman"/>
                <w:sz w:val="20"/>
                <w:szCs w:val="20"/>
                <w:lang w:val="en-GB"/>
              </w:rPr>
            </w:pPr>
          </w:p>
        </w:tc>
        <w:tc>
          <w:tcPr>
            <w:tcW w:w="2393" w:type="dxa"/>
          </w:tcPr>
          <w:p w:rsidR="008E39DA"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Partially;</w:t>
            </w:r>
          </w:p>
          <w:p w:rsidR="00694EE8" w:rsidRPr="006314C9" w:rsidRDefault="008E39DA"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45% </w:t>
            </w:r>
          </w:p>
        </w:tc>
        <w:tc>
          <w:tcPr>
            <w:tcW w:w="2395" w:type="dxa"/>
          </w:tcPr>
          <w:p w:rsidR="00694EE8" w:rsidRPr="006314C9" w:rsidRDefault="00935692"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Partly implanted </w:t>
            </w:r>
          </w:p>
        </w:tc>
      </w:tr>
      <w:tr w:rsidR="00886B9C" w:rsidRPr="006314C9" w:rsidTr="008E39DA">
        <w:tc>
          <w:tcPr>
            <w:tcW w:w="2393" w:type="dxa"/>
          </w:tcPr>
          <w:p w:rsidR="00886B9C" w:rsidRPr="006314C9" w:rsidRDefault="00886B9C" w:rsidP="00750C45">
            <w:pPr>
              <w:spacing w:beforeLines="60" w:afterLines="60"/>
              <w:contextualSpacing/>
              <w:jc w:val="left"/>
              <w:rPr>
                <w:rFonts w:cs="Times New Roman"/>
                <w:bCs/>
                <w:sz w:val="20"/>
                <w:szCs w:val="20"/>
                <w:lang w:val="en-GB"/>
              </w:rPr>
            </w:pPr>
            <w:r w:rsidRPr="006314C9">
              <w:rPr>
                <w:rFonts w:eastAsia="Times New Roman" w:cs="Times New Roman"/>
                <w:bCs/>
                <w:sz w:val="20"/>
                <w:szCs w:val="20"/>
                <w:lang w:val="en-GB" w:eastAsia="fr-FR"/>
              </w:rPr>
              <w:t>1257/2013</w:t>
            </w:r>
          </w:p>
          <w:p w:rsidR="00886B9C" w:rsidRPr="006314C9" w:rsidRDefault="00886B9C" w:rsidP="00750C45">
            <w:pPr>
              <w:spacing w:beforeLines="60" w:afterLines="60"/>
              <w:contextualSpacing/>
              <w:jc w:val="left"/>
              <w:rPr>
                <w:rFonts w:eastAsia="Times New Roman" w:cs="Times New Roman"/>
                <w:bCs/>
                <w:sz w:val="20"/>
                <w:szCs w:val="20"/>
                <w:lang w:val="en-GB"/>
              </w:rPr>
            </w:pPr>
            <w:r w:rsidRPr="006314C9">
              <w:rPr>
                <w:rFonts w:cs="Times New Roman"/>
                <w:b/>
                <w:bCs/>
                <w:i/>
                <w:sz w:val="20"/>
                <w:szCs w:val="20"/>
                <w:lang w:val="en-GB"/>
              </w:rPr>
              <w:t>Ship Recycling</w:t>
            </w:r>
          </w:p>
        </w:tc>
        <w:tc>
          <w:tcPr>
            <w:tcW w:w="2395" w:type="dxa"/>
          </w:tcPr>
          <w:p w:rsidR="00886B9C" w:rsidRPr="006314C9" w:rsidRDefault="00886B9C"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p w:rsidR="00886B9C" w:rsidRPr="006314C9" w:rsidRDefault="00886B9C" w:rsidP="00750C45">
            <w:pPr>
              <w:spacing w:beforeLines="60" w:afterLines="60"/>
              <w:contextualSpacing/>
              <w:jc w:val="left"/>
              <w:rPr>
                <w:rFonts w:cs="Times New Roman"/>
                <w:sz w:val="20"/>
                <w:szCs w:val="20"/>
                <w:lang w:val="en-GB"/>
              </w:rPr>
            </w:pPr>
            <w:r w:rsidRPr="006314C9">
              <w:rPr>
                <w:rFonts w:cs="Times New Roman"/>
                <w:sz w:val="20"/>
                <w:szCs w:val="20"/>
                <w:lang w:val="en-GB"/>
              </w:rPr>
              <w:t>MIE</w:t>
            </w:r>
          </w:p>
        </w:tc>
        <w:tc>
          <w:tcPr>
            <w:tcW w:w="2393" w:type="dxa"/>
          </w:tcPr>
          <w:p w:rsidR="00886B9C" w:rsidRPr="006314C9" w:rsidRDefault="00886B9C" w:rsidP="00750C45">
            <w:pPr>
              <w:spacing w:beforeLines="60" w:afterLines="60"/>
              <w:contextualSpacing/>
              <w:jc w:val="left"/>
              <w:rPr>
                <w:rFonts w:cs="Times New Roman"/>
                <w:sz w:val="20"/>
                <w:szCs w:val="20"/>
                <w:lang w:val="en-GB"/>
              </w:rPr>
            </w:pPr>
            <w:r w:rsidRPr="006314C9">
              <w:rPr>
                <w:rFonts w:cs="Times New Roman"/>
                <w:sz w:val="20"/>
                <w:szCs w:val="20"/>
                <w:lang w:val="en-GB"/>
              </w:rPr>
              <w:t>Not transposed</w:t>
            </w:r>
          </w:p>
          <w:p w:rsidR="00935692" w:rsidRPr="006314C9" w:rsidRDefault="00935692" w:rsidP="00750C45">
            <w:pPr>
              <w:spacing w:beforeLines="60" w:afterLines="60"/>
              <w:contextualSpacing/>
              <w:jc w:val="left"/>
              <w:rPr>
                <w:rFonts w:cs="Times New Roman"/>
                <w:sz w:val="20"/>
                <w:szCs w:val="20"/>
                <w:lang w:val="en-GB"/>
              </w:rPr>
            </w:pPr>
            <w:r w:rsidRPr="006314C9">
              <w:rPr>
                <w:rFonts w:cs="Times New Roman"/>
                <w:sz w:val="20"/>
                <w:szCs w:val="20"/>
                <w:lang w:val="en-GB"/>
              </w:rPr>
              <w:t>1 %</w:t>
            </w:r>
          </w:p>
        </w:tc>
        <w:tc>
          <w:tcPr>
            <w:tcW w:w="2395" w:type="dxa"/>
          </w:tcPr>
          <w:p w:rsidR="00886B9C" w:rsidRPr="006314C9" w:rsidRDefault="00886B9C" w:rsidP="00750C45">
            <w:pPr>
              <w:spacing w:beforeLines="60" w:afterLines="60"/>
              <w:contextualSpacing/>
              <w:jc w:val="left"/>
              <w:rPr>
                <w:rFonts w:cs="Times New Roman"/>
                <w:sz w:val="20"/>
                <w:szCs w:val="20"/>
                <w:lang w:val="en-GB"/>
              </w:rPr>
            </w:pPr>
            <w:r w:rsidRPr="006314C9">
              <w:rPr>
                <w:rFonts w:eastAsia="Times New Roman" w:cs="Times New Roman"/>
                <w:color w:val="000000"/>
                <w:sz w:val="20"/>
                <w:szCs w:val="20"/>
                <w:lang w:val="en-GB"/>
              </w:rPr>
              <w:t xml:space="preserve">Not </w:t>
            </w:r>
            <w:r w:rsidR="00935692" w:rsidRPr="006314C9">
              <w:rPr>
                <w:rFonts w:eastAsia="Times New Roman" w:cs="Times New Roman"/>
                <w:color w:val="000000"/>
                <w:sz w:val="20"/>
                <w:szCs w:val="20"/>
                <w:lang w:val="en-GB"/>
              </w:rPr>
              <w:t xml:space="preserve">implemented </w:t>
            </w:r>
          </w:p>
        </w:tc>
      </w:tr>
    </w:tbl>
    <w:p w:rsidR="008E39DA" w:rsidRPr="006314C9" w:rsidRDefault="008E39DA" w:rsidP="00B27FEA">
      <w:pPr>
        <w:pStyle w:val="Heading1"/>
        <w:numPr>
          <w:ilvl w:val="0"/>
          <w:numId w:val="0"/>
        </w:numPr>
        <w:spacing w:before="120"/>
        <w:ind w:left="720" w:hanging="360"/>
        <w:jc w:val="center"/>
        <w:rPr>
          <w:rFonts w:cs="Times New Roman"/>
          <w:szCs w:val="22"/>
          <w:lang w:val="en-GB"/>
        </w:rPr>
      </w:pPr>
    </w:p>
    <w:p w:rsidR="00694EE8" w:rsidRPr="006314C9" w:rsidRDefault="00694EE8">
      <w:pPr>
        <w:pStyle w:val="Heading1"/>
        <w:numPr>
          <w:ilvl w:val="0"/>
          <w:numId w:val="0"/>
        </w:numPr>
        <w:spacing w:before="120"/>
        <w:ind w:left="720" w:hanging="360"/>
        <w:rPr>
          <w:rFonts w:cs="Times New Roman"/>
          <w:szCs w:val="22"/>
          <w:lang w:val="en-GB"/>
        </w:rPr>
      </w:pPr>
    </w:p>
    <w:p w:rsidR="008E39DA" w:rsidRPr="006314C9" w:rsidRDefault="008E39DA" w:rsidP="00B27FEA">
      <w:pPr>
        <w:pStyle w:val="Heading1"/>
        <w:numPr>
          <w:ilvl w:val="0"/>
          <w:numId w:val="0"/>
        </w:numPr>
        <w:spacing w:before="120"/>
        <w:ind w:left="720" w:hanging="360"/>
        <w:jc w:val="center"/>
        <w:rPr>
          <w:rFonts w:cs="Times New Roman"/>
          <w:szCs w:val="22"/>
          <w:lang w:val="en-GB"/>
        </w:rPr>
      </w:pPr>
    </w:p>
    <w:p w:rsidR="00BE162B" w:rsidRPr="006314C9" w:rsidRDefault="00422F98" w:rsidP="00B27FEA">
      <w:pPr>
        <w:pStyle w:val="Heading1"/>
        <w:numPr>
          <w:ilvl w:val="0"/>
          <w:numId w:val="0"/>
        </w:numPr>
        <w:spacing w:before="120"/>
        <w:ind w:left="720" w:hanging="360"/>
        <w:jc w:val="center"/>
        <w:rPr>
          <w:rFonts w:cs="Times New Roman"/>
          <w:szCs w:val="22"/>
          <w:lang w:val="en-GB"/>
        </w:rPr>
      </w:pPr>
      <w:bookmarkStart w:id="17" w:name="_Toc24031511"/>
      <w:r w:rsidRPr="006314C9">
        <w:rPr>
          <w:rFonts w:cs="Times New Roman"/>
          <w:szCs w:val="22"/>
          <w:lang w:val="en-GB"/>
        </w:rPr>
        <w:t xml:space="preserve">Sub Chapter: </w:t>
      </w:r>
      <w:r w:rsidR="00BE162B" w:rsidRPr="006314C9">
        <w:rPr>
          <w:rFonts w:cs="Times New Roman"/>
          <w:szCs w:val="22"/>
          <w:lang w:val="en-GB"/>
        </w:rPr>
        <w:t>Water quality</w:t>
      </w:r>
      <w:bookmarkEnd w:id="17"/>
    </w:p>
    <w:p w:rsidR="00BE162B" w:rsidRPr="006314C9" w:rsidRDefault="00BE162B" w:rsidP="007B0BC7">
      <w:pPr>
        <w:rPr>
          <w:rFonts w:cs="Times New Roman"/>
          <w:lang w:val="en-GB"/>
        </w:rPr>
      </w:pPr>
      <w:r w:rsidRPr="006314C9">
        <w:rPr>
          <w:rFonts w:cs="Times New Roman"/>
          <w:b/>
          <w:lang w:val="en-GB"/>
        </w:rPr>
        <w:t>Background information</w:t>
      </w:r>
    </w:p>
    <w:p w:rsidR="00BE162B" w:rsidRPr="006314C9" w:rsidRDefault="00BE162B" w:rsidP="00152F5E">
      <w:pPr>
        <w:autoSpaceDE w:val="0"/>
        <w:autoSpaceDN w:val="0"/>
        <w:adjustRightInd w:val="0"/>
        <w:rPr>
          <w:rFonts w:eastAsiaTheme="minorHAnsi" w:cs="Times New Roman"/>
          <w:lang w:val="en-GB"/>
        </w:rPr>
      </w:pPr>
      <w:r w:rsidRPr="006314C9">
        <w:rPr>
          <w:rFonts w:cs="Times New Roman"/>
          <w:lang w:val="en-GB"/>
        </w:rPr>
        <w:t>The sub-chapter of Water is composed of 10 pieces of legislation</w:t>
      </w:r>
      <w:r w:rsidR="005E34AA" w:rsidRPr="006314C9">
        <w:rPr>
          <w:rFonts w:cs="Times New Roman"/>
          <w:lang w:val="en-GB"/>
        </w:rPr>
        <w:t>s</w:t>
      </w:r>
      <w:r w:rsidRPr="006314C9">
        <w:rPr>
          <w:rFonts w:cs="Times New Roman"/>
          <w:lang w:val="en-GB"/>
        </w:rPr>
        <w:t xml:space="preserve">. The main Directive is </w:t>
      </w:r>
      <w:r w:rsidRPr="006314C9">
        <w:rPr>
          <w:rFonts w:cs="Times New Roman"/>
          <w:i/>
          <w:lang w:val="en-GB"/>
        </w:rPr>
        <w:t xml:space="preserve">Water </w:t>
      </w:r>
      <w:proofErr w:type="spellStart"/>
      <w:r w:rsidRPr="006314C9">
        <w:rPr>
          <w:rFonts w:cs="Times New Roman"/>
          <w:i/>
          <w:lang w:val="en-GB"/>
        </w:rPr>
        <w:t>FrameworkDirective</w:t>
      </w:r>
      <w:proofErr w:type="spellEnd"/>
      <w:r w:rsidR="00694EE8" w:rsidRPr="006314C9">
        <w:rPr>
          <w:rFonts w:cs="Times New Roman"/>
          <w:i/>
          <w:lang w:val="en-GB"/>
        </w:rPr>
        <w:t xml:space="preserve"> 2000/60</w:t>
      </w:r>
      <w:r w:rsidRPr="006314C9">
        <w:rPr>
          <w:rFonts w:cs="Times New Roman"/>
          <w:i/>
          <w:lang w:val="en-GB"/>
        </w:rPr>
        <w:t>/EC</w:t>
      </w:r>
      <w:r w:rsidR="00694EE8" w:rsidRPr="006314C9">
        <w:rPr>
          <w:rFonts w:cs="Times New Roman"/>
          <w:i/>
          <w:lang w:val="en-GB"/>
        </w:rPr>
        <w:t xml:space="preserve"> (WFD)</w:t>
      </w:r>
      <w:r w:rsidR="00C3428C" w:rsidRPr="006314C9">
        <w:rPr>
          <w:rFonts w:cs="Times New Roman"/>
          <w:lang w:val="en-GB"/>
        </w:rPr>
        <w:t xml:space="preserve">, which </w:t>
      </w:r>
      <w:r w:rsidRPr="006314C9">
        <w:rPr>
          <w:rFonts w:cs="Times New Roman"/>
          <w:lang w:val="en-GB"/>
        </w:rPr>
        <w:t xml:space="preserve">is unique Europe's key tool for protecting the quality of its waters in response to the increasing threat of pollution and the increasing </w:t>
      </w:r>
      <w:r w:rsidR="00C3428C" w:rsidRPr="006314C9">
        <w:rPr>
          <w:rFonts w:cs="Times New Roman"/>
          <w:lang w:val="en-GB"/>
        </w:rPr>
        <w:t xml:space="preserve">public </w:t>
      </w:r>
      <w:r w:rsidRPr="006314C9">
        <w:rPr>
          <w:rFonts w:cs="Times New Roman"/>
          <w:lang w:val="en-GB"/>
        </w:rPr>
        <w:t xml:space="preserve">demand for clean </w:t>
      </w:r>
      <w:proofErr w:type="spellStart"/>
      <w:r w:rsidRPr="006314C9">
        <w:rPr>
          <w:rFonts w:cs="Times New Roman"/>
          <w:lang w:val="en-GB"/>
        </w:rPr>
        <w:t>waters.The</w:t>
      </w:r>
      <w:proofErr w:type="spellEnd"/>
      <w:r w:rsidRPr="006314C9">
        <w:rPr>
          <w:rFonts w:cs="Times New Roman"/>
          <w:lang w:val="en-GB"/>
        </w:rPr>
        <w:t xml:space="preserve"> key </w:t>
      </w:r>
      <w:r w:rsidRPr="006314C9">
        <w:rPr>
          <w:rFonts w:cs="Times New Roman"/>
          <w:i/>
          <w:lang w:val="en-GB"/>
        </w:rPr>
        <w:t>WFD</w:t>
      </w:r>
      <w:r w:rsidRPr="006314C9">
        <w:rPr>
          <w:rFonts w:cs="Times New Roman"/>
          <w:lang w:val="en-GB"/>
        </w:rPr>
        <w:t xml:space="preserve"> objectives are: expanding the scope of water protection to all waters (surface waters and groundwater); achieving "good status" for all waters by a set deadline; water management based on river basins; "combined approach" of emission limit values and quality standards; getting the prices right (including polluter pays principle); getting the citizen involved more closely and streamlining legislation.</w:t>
      </w:r>
    </w:p>
    <w:p w:rsidR="00BE162B" w:rsidRPr="006314C9" w:rsidRDefault="00BE162B" w:rsidP="00750C45">
      <w:pPr>
        <w:spacing w:afterLines="60"/>
        <w:contextualSpacing/>
        <w:rPr>
          <w:rFonts w:cs="Times New Roman"/>
          <w:lang w:val="en-GB"/>
        </w:rPr>
      </w:pPr>
      <w:r w:rsidRPr="006314C9">
        <w:rPr>
          <w:rFonts w:cs="Times New Roman"/>
          <w:lang w:val="en-GB"/>
        </w:rPr>
        <w:t xml:space="preserve">Based on the main requirements of the </w:t>
      </w:r>
      <w:r w:rsidRPr="006314C9">
        <w:rPr>
          <w:rFonts w:cs="Times New Roman"/>
          <w:i/>
          <w:lang w:val="en-GB"/>
        </w:rPr>
        <w:t>WFD</w:t>
      </w:r>
      <w:r w:rsidRPr="006314C9">
        <w:rPr>
          <w:rFonts w:cs="Times New Roman"/>
          <w:lang w:val="en-GB"/>
        </w:rPr>
        <w:t xml:space="preserve">, the following legal context’s European Water </w:t>
      </w:r>
      <w:proofErr w:type="gramStart"/>
      <w:r w:rsidRPr="006314C9">
        <w:rPr>
          <w:rFonts w:cs="Times New Roman"/>
          <w:lang w:val="en-GB"/>
        </w:rPr>
        <w:t>Policy,</w:t>
      </w:r>
      <w:proofErr w:type="gramEnd"/>
      <w:r w:rsidRPr="006314C9">
        <w:rPr>
          <w:rFonts w:cs="Times New Roman"/>
          <w:lang w:val="en-GB"/>
        </w:rPr>
        <w:t xml:space="preserve"> introduce targets and tools to be followed by MS, such as: </w:t>
      </w:r>
    </w:p>
    <w:p w:rsidR="00BE162B" w:rsidRPr="006314C9" w:rsidRDefault="00BE162B" w:rsidP="00152F5E">
      <w:pPr>
        <w:pStyle w:val="ListParagraph"/>
        <w:numPr>
          <w:ilvl w:val="0"/>
          <w:numId w:val="1"/>
        </w:numPr>
        <w:rPr>
          <w:rFonts w:eastAsiaTheme="majorEastAsia" w:cs="Times New Roman"/>
          <w:bCs/>
          <w:i/>
          <w:color w:val="4F81BD" w:themeColor="accent1"/>
          <w:lang w:val="en-GB"/>
        </w:rPr>
      </w:pPr>
      <w:r w:rsidRPr="006314C9">
        <w:rPr>
          <w:rFonts w:cs="Times New Roman"/>
          <w:lang w:val="en-GB"/>
        </w:rPr>
        <w:t>Directive 2006/118/EC “</w:t>
      </w:r>
      <w:r w:rsidRPr="006314C9">
        <w:rPr>
          <w:rFonts w:cs="Times New Roman"/>
          <w:i/>
          <w:iCs/>
          <w:lang w:val="en-GB"/>
        </w:rPr>
        <w:t>on the protection of groundwater against pollution and deterioration</w:t>
      </w:r>
      <w:r w:rsidRPr="006314C9">
        <w:rPr>
          <w:rFonts w:cs="Times New Roman"/>
          <w:lang w:val="en-GB"/>
        </w:rPr>
        <w:t xml:space="preserve">”, establishes specific measures such as criteria for the assessment of good groundwater chemical status and criteria for the identification and reversal of significant and sustained upward trends and for the definition of starting points for trend reversals in order to prevent and control groundwater pollution. It also complements the provisions preventing or limiting inputs of pollutants into groundwater already contained in </w:t>
      </w:r>
      <w:r w:rsidRPr="006314C9">
        <w:rPr>
          <w:rFonts w:cs="Times New Roman"/>
          <w:i/>
          <w:lang w:val="en-GB"/>
        </w:rPr>
        <w:t>WFD</w:t>
      </w:r>
      <w:r w:rsidRPr="006314C9">
        <w:rPr>
          <w:rFonts w:cs="Times New Roman"/>
          <w:lang w:val="en-GB"/>
        </w:rPr>
        <w:t>, and aims to prevent the deterioration of the status of all bodies of groundwater.</w:t>
      </w:r>
    </w:p>
    <w:p w:rsidR="00BE162B" w:rsidRPr="006314C9" w:rsidRDefault="00BE162B" w:rsidP="00750C45">
      <w:pPr>
        <w:pStyle w:val="ListParagraph"/>
        <w:numPr>
          <w:ilvl w:val="0"/>
          <w:numId w:val="16"/>
        </w:numPr>
        <w:spacing w:afterLines="60"/>
        <w:rPr>
          <w:rFonts w:cs="Times New Roman"/>
          <w:lang w:val="en-GB"/>
        </w:rPr>
      </w:pPr>
      <w:r w:rsidRPr="006314C9">
        <w:rPr>
          <w:rFonts w:cs="Times New Roman"/>
          <w:lang w:val="en-GB"/>
        </w:rPr>
        <w:t>Directive 2007/60/EC “</w:t>
      </w:r>
      <w:r w:rsidRPr="006314C9">
        <w:rPr>
          <w:rFonts w:cs="Times New Roman"/>
          <w:i/>
          <w:lang w:val="en-GB"/>
        </w:rPr>
        <w:t>on the assessment and management of flood risks</w:t>
      </w:r>
      <w:r w:rsidRPr="006314C9">
        <w:rPr>
          <w:rFonts w:cs="Times New Roman"/>
          <w:lang w:val="en-GB"/>
        </w:rPr>
        <w:t>” requires if all water courses and coast lines are at risk from flooding, to map the flood extent and assets and humans at risk in these areas and to take adequate and coordinated measures to reduce this flood risk. It also reinforces the rights of the public to access this information and to have a say in the planning process.</w:t>
      </w:r>
    </w:p>
    <w:p w:rsidR="00590337" w:rsidRPr="006314C9" w:rsidRDefault="00BE162B" w:rsidP="00750C45">
      <w:pPr>
        <w:pStyle w:val="ListParagraph"/>
        <w:numPr>
          <w:ilvl w:val="0"/>
          <w:numId w:val="16"/>
        </w:numPr>
        <w:spacing w:afterLines="60"/>
        <w:rPr>
          <w:rFonts w:cs="Times New Roman"/>
          <w:lang w:val="en-GB"/>
        </w:rPr>
      </w:pPr>
      <w:r w:rsidRPr="006314C9">
        <w:rPr>
          <w:rFonts w:cs="Times New Roman"/>
          <w:lang w:val="en-GB"/>
        </w:rPr>
        <w:t>Directive 2009/90/EC on “</w:t>
      </w:r>
      <w:r w:rsidRPr="006314C9">
        <w:rPr>
          <w:rFonts w:cs="Times New Roman"/>
          <w:i/>
          <w:lang w:val="en-GB"/>
        </w:rPr>
        <w:t>technical specifications for chemical analysis and monitoring of water status</w:t>
      </w:r>
      <w:r w:rsidRPr="006314C9">
        <w:rPr>
          <w:rFonts w:cs="Times New Roman"/>
          <w:lang w:val="en-GB"/>
        </w:rPr>
        <w:t xml:space="preserve">” lays down technical specifications for chemical analysis and monitoring of water status in accordance with </w:t>
      </w:r>
      <w:r w:rsidRPr="006314C9">
        <w:rPr>
          <w:rFonts w:cs="Times New Roman"/>
          <w:i/>
          <w:lang w:val="en-GB"/>
        </w:rPr>
        <w:t>WFD</w:t>
      </w:r>
      <w:r w:rsidRPr="006314C9">
        <w:rPr>
          <w:rFonts w:cs="Times New Roman"/>
          <w:lang w:val="en-GB"/>
        </w:rPr>
        <w:t xml:space="preserve">. It establishes minimum performance criteria for methods of analysis when monitoring water status, sediment and biota, as well as rules for demonstrating the quality of analytical results. It also requests that all methods of analysis, including laboratory, field and on-line methods, used for the purposes of chemical monitoring programmes carried out under </w:t>
      </w:r>
      <w:r w:rsidRPr="006314C9">
        <w:rPr>
          <w:rFonts w:cs="Times New Roman"/>
          <w:i/>
          <w:lang w:val="en-GB"/>
        </w:rPr>
        <w:t xml:space="preserve">WFD </w:t>
      </w:r>
      <w:r w:rsidRPr="006314C9">
        <w:rPr>
          <w:rFonts w:cs="Times New Roman"/>
          <w:lang w:val="en-GB"/>
        </w:rPr>
        <w:t>are validated and documented in accordance with EN ISO/IEC-17025 standard or other equivalent standards accepted at international level.</w:t>
      </w:r>
    </w:p>
    <w:p w:rsidR="00590337" w:rsidRPr="006314C9" w:rsidRDefault="00694EE8" w:rsidP="00750C45">
      <w:pPr>
        <w:pStyle w:val="ListParagraph"/>
        <w:numPr>
          <w:ilvl w:val="0"/>
          <w:numId w:val="16"/>
        </w:numPr>
        <w:spacing w:afterLines="60"/>
        <w:rPr>
          <w:rFonts w:cs="Times New Roman"/>
          <w:lang w:val="en-GB"/>
        </w:rPr>
      </w:pPr>
      <w:r w:rsidRPr="006314C9">
        <w:rPr>
          <w:rFonts w:cs="Times New Roman"/>
          <w:lang w:val="en-GB"/>
        </w:rPr>
        <w:t>Directive 2008/105/EC</w:t>
      </w:r>
      <w:r w:rsidR="00BE162B" w:rsidRPr="006314C9">
        <w:rPr>
          <w:rFonts w:cs="Times New Roman"/>
          <w:lang w:val="en-GB"/>
        </w:rPr>
        <w:t xml:space="preserve"> on “</w:t>
      </w:r>
      <w:r w:rsidR="00BE162B" w:rsidRPr="006314C9">
        <w:rPr>
          <w:rFonts w:cs="Times New Roman"/>
          <w:i/>
          <w:lang w:val="en-GB"/>
        </w:rPr>
        <w:t>environmental quality standards/priority substances</w:t>
      </w:r>
      <w:r w:rsidR="00BE162B" w:rsidRPr="006314C9">
        <w:rPr>
          <w:rFonts w:cs="Times New Roman"/>
          <w:lang w:val="en-GB"/>
        </w:rPr>
        <w:t xml:space="preserve">” lays down environmental quality standards (EQS) for priority substances and certain other pollutants, with the aim of achieving good surface water chemical status and in accordance with the provisions and objectives of </w:t>
      </w:r>
      <w:r w:rsidR="00BE162B" w:rsidRPr="006314C9">
        <w:rPr>
          <w:rFonts w:cs="Times New Roman"/>
          <w:i/>
          <w:lang w:val="en-GB"/>
        </w:rPr>
        <w:t>WFD</w:t>
      </w:r>
      <w:r w:rsidR="00BE162B" w:rsidRPr="006314C9">
        <w:rPr>
          <w:rFonts w:cs="Times New Roman"/>
          <w:lang w:val="en-GB"/>
        </w:rPr>
        <w:t>. MS should improve the knowledge and data available on sources of priority substances and ways in which pollution occurs in order to identify targeted and effective control options</w:t>
      </w:r>
    </w:p>
    <w:p w:rsidR="00590337" w:rsidRPr="006314C9" w:rsidRDefault="00BE162B" w:rsidP="00750C45">
      <w:pPr>
        <w:pStyle w:val="ListParagraph"/>
        <w:numPr>
          <w:ilvl w:val="0"/>
          <w:numId w:val="16"/>
        </w:numPr>
        <w:spacing w:afterLines="60"/>
        <w:rPr>
          <w:rFonts w:cs="Times New Roman"/>
          <w:lang w:val="en-GB"/>
        </w:rPr>
      </w:pPr>
      <w:r w:rsidRPr="006314C9">
        <w:rPr>
          <w:rFonts w:cs="Times New Roman"/>
          <w:lang w:val="en-GB"/>
        </w:rPr>
        <w:t>Directive 2008/56/EC on the “</w:t>
      </w:r>
      <w:r w:rsidRPr="006314C9">
        <w:rPr>
          <w:rFonts w:cs="Times New Roman"/>
          <w:i/>
          <w:lang w:val="en-GB"/>
        </w:rPr>
        <w:t>establishment of a framework for community action in the field of marine environmental policy</w:t>
      </w:r>
      <w:r w:rsidRPr="006314C9">
        <w:rPr>
          <w:rFonts w:cs="Times New Roman"/>
          <w:lang w:val="en-GB"/>
        </w:rPr>
        <w:t xml:space="preserve">” (Marine Strategy Framework Directive) offers a framework for the sustainable use of the marine waters also a comprehensive and integrated approach to coastal waters. The criteria and methodological standards for the implementation of Marine Strategy on </w:t>
      </w:r>
      <w:r w:rsidRPr="006314C9">
        <w:rPr>
          <w:rFonts w:cs="Times New Roman"/>
          <w:lang w:val="en-GB"/>
        </w:rPr>
        <w:lastRenderedPageBreak/>
        <w:t>good environmental status, specifications and standardized methods for monitoring and assessment were revised in 2017 through Directive 2017/845/EU.</w:t>
      </w:r>
    </w:p>
    <w:p w:rsidR="001970C3" w:rsidRPr="006314C9" w:rsidRDefault="00BE162B" w:rsidP="00750C45">
      <w:pPr>
        <w:pStyle w:val="ListParagraph"/>
        <w:numPr>
          <w:ilvl w:val="0"/>
          <w:numId w:val="16"/>
        </w:numPr>
        <w:spacing w:afterLines="60"/>
        <w:rPr>
          <w:rFonts w:cs="Times New Roman"/>
          <w:lang w:val="en-GB"/>
        </w:rPr>
      </w:pPr>
      <w:r w:rsidRPr="006314C9">
        <w:rPr>
          <w:rFonts w:cs="Times New Roman"/>
          <w:lang w:val="en-GB"/>
        </w:rPr>
        <w:t xml:space="preserve">Directive 91/676/EEC </w:t>
      </w:r>
      <w:proofErr w:type="spellStart"/>
      <w:r w:rsidRPr="006314C9">
        <w:rPr>
          <w:rFonts w:cs="Times New Roman"/>
          <w:lang w:val="en-GB"/>
        </w:rPr>
        <w:t>on“</w:t>
      </w:r>
      <w:r w:rsidRPr="006314C9">
        <w:rPr>
          <w:rFonts w:cs="Times New Roman"/>
          <w:i/>
          <w:lang w:val="en-GB"/>
        </w:rPr>
        <w:t>concerning</w:t>
      </w:r>
      <w:proofErr w:type="spellEnd"/>
      <w:r w:rsidRPr="006314C9">
        <w:rPr>
          <w:rFonts w:cs="Times New Roman"/>
          <w:i/>
          <w:lang w:val="en-GB"/>
        </w:rPr>
        <w:t xml:space="preserve"> the protection of waters against pollution caused by nitrates from agricultural sources</w:t>
      </w:r>
      <w:r w:rsidRPr="006314C9">
        <w:rPr>
          <w:rFonts w:cs="Times New Roman"/>
          <w:lang w:val="en-GB"/>
        </w:rPr>
        <w:t xml:space="preserve">”, aims to protect water quality across Europe by preventing nitrates from agricultural sources polluting ground and surface waters and by promoting the use of good farming practices.  It forms an integral part of the WFD and is one of the key instruments in the protection of waters against agricultural pressures. MS are obliged to monitor the nitrate concentrations in ground waters and surface waters as well as monitor </w:t>
      </w:r>
      <w:proofErr w:type="spellStart"/>
      <w:r w:rsidRPr="006314C9">
        <w:rPr>
          <w:rFonts w:cs="Times New Roman"/>
          <w:lang w:val="en-GB"/>
        </w:rPr>
        <w:t>eutrophication</w:t>
      </w:r>
      <w:proofErr w:type="spellEnd"/>
      <w:r w:rsidRPr="006314C9">
        <w:rPr>
          <w:rFonts w:cs="Times New Roman"/>
          <w:lang w:val="en-GB"/>
        </w:rPr>
        <w:t xml:space="preserve"> in surface waters, review and if necessary revise or add to the designation of vulnerable zones. This Directive was amended by Regulation (EC) 1882/2003 and Regulation (EC) 1137/2008.</w:t>
      </w:r>
    </w:p>
    <w:p w:rsidR="001970C3" w:rsidRPr="006314C9" w:rsidRDefault="00BE162B" w:rsidP="00750C45">
      <w:pPr>
        <w:pStyle w:val="ListParagraph"/>
        <w:numPr>
          <w:ilvl w:val="0"/>
          <w:numId w:val="16"/>
        </w:numPr>
        <w:spacing w:afterLines="60"/>
        <w:rPr>
          <w:rFonts w:cs="Times New Roman"/>
          <w:lang w:val="en-GB"/>
        </w:rPr>
      </w:pPr>
      <w:r w:rsidRPr="006314C9">
        <w:rPr>
          <w:rFonts w:cs="Times New Roman"/>
          <w:lang w:val="en-GB"/>
        </w:rPr>
        <w:t>Directive 2006/7/EC on “</w:t>
      </w:r>
      <w:r w:rsidRPr="006314C9">
        <w:rPr>
          <w:rFonts w:cs="Times New Roman"/>
          <w:i/>
          <w:lang w:val="en-GB"/>
        </w:rPr>
        <w:t>concerning the management of bathing water quality</w:t>
      </w:r>
      <w:r w:rsidRPr="006314C9">
        <w:rPr>
          <w:rFonts w:cs="Times New Roman"/>
          <w:lang w:val="en-GB"/>
        </w:rPr>
        <w:t xml:space="preserve">” is amended by Regulation (EC) 596/2009 and Directive 2013/64/EU ensures timely information of the public during the bathing season, with an obligation to disseminate actively and promptly information on bathing water quality. It applies to surface waters that can be used for bathing except for swimming pools and spa pools, confined waters subject to treatment or used for therapeutic purposes and confined waters artificially separated from surface water and groundwater. Two main parameters for analysis are defined such as intestinal </w:t>
      </w:r>
      <w:proofErr w:type="spellStart"/>
      <w:r w:rsidRPr="006314C9">
        <w:rPr>
          <w:rFonts w:cs="Times New Roman"/>
          <w:lang w:val="en-GB"/>
        </w:rPr>
        <w:t>enterococci</w:t>
      </w:r>
      <w:proofErr w:type="spellEnd"/>
      <w:r w:rsidRPr="006314C9">
        <w:rPr>
          <w:rFonts w:cs="Times New Roman"/>
          <w:lang w:val="en-GB"/>
        </w:rPr>
        <w:t xml:space="preserve"> and Escherichia coli.  The waters are classified according to their level of quality: poor, sufficient, good or excellent, linked to clear numerical quality standards for bacteriological quality.</w:t>
      </w:r>
    </w:p>
    <w:p w:rsidR="00BE162B" w:rsidRPr="006314C9" w:rsidRDefault="00BE162B" w:rsidP="00152F5E">
      <w:pPr>
        <w:pStyle w:val="ListParagraph"/>
        <w:numPr>
          <w:ilvl w:val="0"/>
          <w:numId w:val="16"/>
        </w:numPr>
        <w:autoSpaceDE w:val="0"/>
        <w:autoSpaceDN w:val="0"/>
        <w:adjustRightInd w:val="0"/>
        <w:spacing w:before="0" w:after="0"/>
        <w:rPr>
          <w:rFonts w:cs="Times New Roman"/>
          <w:lang w:val="en-GB"/>
        </w:rPr>
      </w:pPr>
      <w:r w:rsidRPr="006314C9">
        <w:rPr>
          <w:rFonts w:cs="Times New Roman"/>
          <w:lang w:val="en-GB"/>
        </w:rPr>
        <w:t xml:space="preserve">Directive 98/83/EC </w:t>
      </w:r>
      <w:r w:rsidRPr="006314C9">
        <w:rPr>
          <w:rFonts w:cs="Times New Roman"/>
          <w:i/>
          <w:lang w:val="en-GB"/>
        </w:rPr>
        <w:t>on the “quality of water intended for human consumption: drinking water”</w:t>
      </w:r>
      <w:r w:rsidRPr="006314C9">
        <w:rPr>
          <w:rFonts w:cs="Times New Roman"/>
          <w:lang w:val="en-GB"/>
        </w:rPr>
        <w:t>, is amended by Regulations (EC) 1882/2003, (EC) 596/2009 and Commission Directive (EU) 2015/1787 and Commission Decision 95/337/EC concerning questionnaires relating to directives in the water sector. This Directive concerns the quality of water intended for human consumption. The main objective of this Directive is to protect the human health from the adverse effects resulting from contamination of water intended for human consumption, guaranteeing its health and cleanliness. Subject of this directive are all drinking water supply systems serving &gt;50 people.</w:t>
      </w:r>
    </w:p>
    <w:p w:rsidR="00BE162B" w:rsidRPr="006314C9" w:rsidRDefault="00BE162B" w:rsidP="00750C45">
      <w:pPr>
        <w:pStyle w:val="ListParagraph"/>
        <w:numPr>
          <w:ilvl w:val="0"/>
          <w:numId w:val="16"/>
        </w:numPr>
        <w:autoSpaceDE w:val="0"/>
        <w:autoSpaceDN w:val="0"/>
        <w:adjustRightInd w:val="0"/>
        <w:spacing w:afterLines="60"/>
        <w:rPr>
          <w:rFonts w:cs="Times New Roman"/>
          <w:lang w:val="en-GB"/>
        </w:rPr>
      </w:pPr>
      <w:r w:rsidRPr="006314C9">
        <w:rPr>
          <w:rFonts w:cs="Times New Roman"/>
          <w:lang w:val="en-GB"/>
        </w:rPr>
        <w:t>Directive 91/271/EEC on the “</w:t>
      </w:r>
      <w:r w:rsidRPr="006314C9">
        <w:rPr>
          <w:rFonts w:cs="Times New Roman"/>
          <w:i/>
          <w:lang w:val="en-GB"/>
        </w:rPr>
        <w:t>concern of urban waste water treatment</w:t>
      </w:r>
      <w:r w:rsidRPr="006314C9">
        <w:rPr>
          <w:rFonts w:cs="Times New Roman"/>
          <w:lang w:val="en-GB"/>
        </w:rPr>
        <w:t>”, as amended by Commission Directive 98/15/EC, Regulation 1882/2003 and Regulation 1137/2008. This Directive concerns collection, processing and the discharge of urban waste water, as well as the treatment and the discharge of waste water from certain industrial sectors. It intends to protect the environment from repercussions adverse effects caused by the aforementioned waste water discharges. It applies for collection and treatment of waste water in agglomerations of &gt; 2000 population equivalents (</w:t>
      </w:r>
      <w:proofErr w:type="spellStart"/>
      <w:r w:rsidRPr="006314C9">
        <w:rPr>
          <w:rFonts w:cs="Times New Roman"/>
          <w:lang w:val="en-GB"/>
        </w:rPr>
        <w:t>p.e</w:t>
      </w:r>
      <w:proofErr w:type="spellEnd"/>
      <w:r w:rsidRPr="006314C9">
        <w:rPr>
          <w:rFonts w:cs="Times New Roman"/>
          <w:lang w:val="en-GB"/>
        </w:rPr>
        <w:t>.)</w:t>
      </w:r>
    </w:p>
    <w:p w:rsidR="00BE162B" w:rsidRPr="006314C9" w:rsidRDefault="00BE162B" w:rsidP="00750C45">
      <w:pPr>
        <w:pStyle w:val="ListParagraph"/>
        <w:numPr>
          <w:ilvl w:val="0"/>
          <w:numId w:val="16"/>
        </w:numPr>
        <w:spacing w:afterLines="60"/>
        <w:rPr>
          <w:rFonts w:cs="Times New Roman"/>
          <w:lang w:val="en-GB"/>
        </w:rPr>
      </w:pPr>
      <w:r w:rsidRPr="006314C9">
        <w:rPr>
          <w:rFonts w:cs="Times New Roman"/>
          <w:lang w:val="en-GB"/>
        </w:rPr>
        <w:t>Directive 91/676/EEC “</w:t>
      </w:r>
      <w:r w:rsidRPr="006314C9">
        <w:rPr>
          <w:rFonts w:cs="Times New Roman"/>
          <w:i/>
          <w:lang w:val="en-GB"/>
        </w:rPr>
        <w:t>concerning the protection of waters against pollution caused by nitrates from agricultural sources</w:t>
      </w:r>
      <w:r w:rsidRPr="006314C9">
        <w:rPr>
          <w:rFonts w:cs="Times New Roman"/>
          <w:lang w:val="en-GB"/>
        </w:rPr>
        <w:t xml:space="preserve">”, as amended by Regulation (EC) 1882/2003 and Regulation (EC) 1137/2008. It aims to protect water quality by preventing nitrates from agricultural sources polluting ground and surface waters and by promoting the use of good farming practices. It also forms an integral part of the WFD and is one of the key instruments in the protection of waters against agricultural pressures. MS are obliged to monitor the nitrate concentrations in ground waters and surface waters as well as monitor </w:t>
      </w:r>
      <w:proofErr w:type="spellStart"/>
      <w:r w:rsidRPr="006314C9">
        <w:rPr>
          <w:rFonts w:cs="Times New Roman"/>
          <w:lang w:val="en-GB"/>
        </w:rPr>
        <w:t>eutrophication</w:t>
      </w:r>
      <w:proofErr w:type="spellEnd"/>
      <w:r w:rsidRPr="006314C9">
        <w:rPr>
          <w:rFonts w:cs="Times New Roman"/>
          <w:lang w:val="en-GB"/>
        </w:rPr>
        <w:t xml:space="preserve"> in surface waters.</w:t>
      </w:r>
    </w:p>
    <w:p w:rsidR="00BE162B" w:rsidRPr="006314C9" w:rsidRDefault="00BE162B" w:rsidP="00152F5E">
      <w:pPr>
        <w:rPr>
          <w:rFonts w:cs="Times New Roman"/>
          <w:lang w:val="en-GB"/>
        </w:rPr>
      </w:pPr>
      <w:r w:rsidRPr="006314C9">
        <w:rPr>
          <w:rFonts w:cs="Times New Roman"/>
          <w:b/>
          <w:lang w:val="en-GB"/>
        </w:rPr>
        <w:t>Transposition</w:t>
      </w:r>
    </w:p>
    <w:p w:rsidR="00590337" w:rsidRPr="006314C9" w:rsidRDefault="001E4F8E" w:rsidP="00ED174C">
      <w:pPr>
        <w:spacing w:after="144"/>
        <w:rPr>
          <w:lang w:val="en-GB"/>
        </w:rPr>
      </w:pPr>
      <w:r w:rsidRPr="006314C9">
        <w:rPr>
          <w:lang w:val="en-GB"/>
        </w:rPr>
        <w:t xml:space="preserve">Considering the efforts done to align with the EU legislation, in the water subchapter </w:t>
      </w:r>
      <w:r w:rsidR="00BE162B" w:rsidRPr="006314C9">
        <w:rPr>
          <w:lang w:val="en-GB"/>
        </w:rPr>
        <w:t xml:space="preserve">10 </w:t>
      </w:r>
      <w:r w:rsidR="00B61E8B" w:rsidRPr="006314C9">
        <w:rPr>
          <w:lang w:val="en-GB"/>
        </w:rPr>
        <w:t>d</w:t>
      </w:r>
      <w:r w:rsidR="00BE162B" w:rsidRPr="006314C9">
        <w:rPr>
          <w:lang w:val="en-GB"/>
        </w:rPr>
        <w:t>irectives have been transposed at different level</w:t>
      </w:r>
      <w:r w:rsidRPr="006314C9">
        <w:rPr>
          <w:lang w:val="en-GB"/>
        </w:rPr>
        <w:t xml:space="preserve"> into national legislation</w:t>
      </w:r>
      <w:r w:rsidR="00BE162B" w:rsidRPr="006314C9">
        <w:rPr>
          <w:lang w:val="en-GB"/>
        </w:rPr>
        <w:t xml:space="preserve">. Only two of them have not been transposed yet such as: Directive 2006/118/EC </w:t>
      </w:r>
      <w:r w:rsidR="00BE162B" w:rsidRPr="006314C9">
        <w:rPr>
          <w:i/>
          <w:lang w:val="en-GB"/>
        </w:rPr>
        <w:t>“on the protection of groundwater against pollution and deterioration”</w:t>
      </w:r>
      <w:r w:rsidR="00BE162B" w:rsidRPr="006314C9">
        <w:rPr>
          <w:lang w:val="en-GB"/>
        </w:rPr>
        <w:t xml:space="preserve"> and Directive 2008/56/EC on the </w:t>
      </w:r>
      <w:r w:rsidR="00BE162B" w:rsidRPr="006314C9">
        <w:rPr>
          <w:i/>
          <w:lang w:val="en-GB"/>
        </w:rPr>
        <w:t>“establishment of a framework for community action in the field of marine environmental policy”</w:t>
      </w:r>
      <w:r w:rsidR="00BE162B" w:rsidRPr="006314C9">
        <w:rPr>
          <w:lang w:val="en-GB"/>
        </w:rPr>
        <w:t xml:space="preserve"> (Marine Strategy Framework Directive). </w:t>
      </w:r>
      <w:r w:rsidR="00694EE8" w:rsidRPr="006314C9">
        <w:rPr>
          <w:lang w:val="en-GB"/>
        </w:rPr>
        <w:t xml:space="preserve">It is not transposed as well the Decision </w:t>
      </w:r>
      <w:r w:rsidR="00694EE8" w:rsidRPr="006314C9">
        <w:rPr>
          <w:rFonts w:cs="Times New Roman"/>
          <w:lang w:val="en-GB"/>
        </w:rPr>
        <w:t xml:space="preserve">2010/477/EU/EU </w:t>
      </w:r>
      <w:r w:rsidR="00694EE8" w:rsidRPr="006314C9">
        <w:rPr>
          <w:rFonts w:cs="Times New Roman"/>
          <w:i/>
          <w:lang w:val="en-GB"/>
        </w:rPr>
        <w:t xml:space="preserve">Standards on good environmental </w:t>
      </w:r>
      <w:proofErr w:type="spellStart"/>
      <w:r w:rsidR="00694EE8" w:rsidRPr="006314C9">
        <w:rPr>
          <w:rFonts w:cs="Times New Roman"/>
          <w:i/>
          <w:lang w:val="en-GB"/>
        </w:rPr>
        <w:t>statuson</w:t>
      </w:r>
      <w:proofErr w:type="spellEnd"/>
      <w:r w:rsidR="00694EE8" w:rsidRPr="006314C9">
        <w:rPr>
          <w:rFonts w:cs="Times New Roman"/>
          <w:i/>
          <w:lang w:val="en-GB"/>
        </w:rPr>
        <w:t xml:space="preserve"> marine waters</w:t>
      </w:r>
      <w:r w:rsidR="00694EE8" w:rsidRPr="006314C9">
        <w:rPr>
          <w:rFonts w:cs="Times New Roman"/>
          <w:i/>
          <w:sz w:val="20"/>
          <w:szCs w:val="20"/>
          <w:lang w:val="en-GB"/>
        </w:rPr>
        <w:t>.</w:t>
      </w:r>
    </w:p>
    <w:p w:rsidR="00590337" w:rsidRPr="006314C9" w:rsidRDefault="000C630E" w:rsidP="00ED174C">
      <w:pPr>
        <w:spacing w:after="144"/>
        <w:rPr>
          <w:lang w:val="en-GB"/>
        </w:rPr>
      </w:pPr>
      <w:r w:rsidRPr="006314C9">
        <w:rPr>
          <w:rFonts w:cs="Times New Roman"/>
          <w:lang w:val="en-GB"/>
        </w:rPr>
        <w:lastRenderedPageBreak/>
        <w:t xml:space="preserve">Legal acts </w:t>
      </w:r>
      <w:r w:rsidRPr="006314C9">
        <w:rPr>
          <w:lang w:val="en-GB"/>
        </w:rPr>
        <w:t>t</w:t>
      </w:r>
      <w:r w:rsidR="00BE162B" w:rsidRPr="006314C9">
        <w:rPr>
          <w:lang w:val="en-GB"/>
        </w:rPr>
        <w:t>ransposi</w:t>
      </w:r>
      <w:r w:rsidRPr="006314C9">
        <w:rPr>
          <w:lang w:val="en-GB"/>
        </w:rPr>
        <w:t xml:space="preserve">ng </w:t>
      </w:r>
      <w:r w:rsidR="00BE162B" w:rsidRPr="006314C9">
        <w:rPr>
          <w:lang w:val="en-GB"/>
        </w:rPr>
        <w:t xml:space="preserve">the </w:t>
      </w:r>
      <w:proofErr w:type="spellStart"/>
      <w:r w:rsidR="00694EE8" w:rsidRPr="006314C9">
        <w:rPr>
          <w:i/>
          <w:lang w:val="en-GB"/>
        </w:rPr>
        <w:t>WFD</w:t>
      </w:r>
      <w:r w:rsidRPr="006314C9">
        <w:rPr>
          <w:lang w:val="en-GB"/>
        </w:rPr>
        <w:t>include</w:t>
      </w:r>
      <w:proofErr w:type="spellEnd"/>
      <w:r w:rsidRPr="006314C9">
        <w:rPr>
          <w:lang w:val="en-GB"/>
        </w:rPr>
        <w:t xml:space="preserve"> </w:t>
      </w:r>
      <w:r w:rsidR="00BE162B" w:rsidRPr="006314C9">
        <w:rPr>
          <w:lang w:val="en-GB"/>
        </w:rPr>
        <w:t xml:space="preserve">Law 111/2012 “On Integrated Water Management” as amended in 1018, DCM No 246, dated 30.04.2014 “On the definition of environmental quality standards for surface waters’”, DCM No 267, dated 07.05.2014 "On approval of the list of priority substances in aquatic environment '' and DCM No 63, dated 27.1.2016 “On the reorganization of operators providing drinking water supply, collection, removal and treatment of 856 wastewater”. </w:t>
      </w:r>
    </w:p>
    <w:p w:rsidR="00590337" w:rsidRPr="006314C9" w:rsidRDefault="00BE162B" w:rsidP="00ED174C">
      <w:pPr>
        <w:spacing w:after="144"/>
        <w:rPr>
          <w:lang w:val="en-GB"/>
        </w:rPr>
      </w:pPr>
      <w:r w:rsidRPr="006314C9">
        <w:rPr>
          <w:lang w:val="en-GB"/>
        </w:rPr>
        <w:t xml:space="preserve">Law </w:t>
      </w:r>
      <w:r w:rsidR="000C630E" w:rsidRPr="006314C9">
        <w:rPr>
          <w:lang w:val="en-GB"/>
        </w:rPr>
        <w:t>No</w:t>
      </w:r>
      <w:r w:rsidRPr="006314C9">
        <w:rPr>
          <w:lang w:val="en-GB"/>
        </w:rPr>
        <w:t xml:space="preserve">. 111/2012 "On the integrated management of water resources" as amended in 2018, has transposed some of the provisions of the Directive of the </w:t>
      </w:r>
      <w:r w:rsidRPr="006314C9">
        <w:rPr>
          <w:i/>
          <w:lang w:val="en-GB"/>
        </w:rPr>
        <w:t>Urban Waste Water</w:t>
      </w:r>
      <w:r w:rsidR="00D638F0" w:rsidRPr="006314C9">
        <w:rPr>
          <w:i/>
          <w:lang w:val="en-GB"/>
        </w:rPr>
        <w:t xml:space="preserve"> Treatment</w:t>
      </w:r>
      <w:r w:rsidRPr="006314C9">
        <w:rPr>
          <w:lang w:val="en-GB"/>
        </w:rPr>
        <w:t xml:space="preserve">. The transposition of the </w:t>
      </w:r>
      <w:r w:rsidRPr="006314C9">
        <w:rPr>
          <w:i/>
          <w:lang w:val="en-GB"/>
        </w:rPr>
        <w:t>Drinking Water Directive</w:t>
      </w:r>
      <w:r w:rsidRPr="006314C9">
        <w:rPr>
          <w:lang w:val="en-GB"/>
        </w:rPr>
        <w:t xml:space="preserve"> is at an advanced </w:t>
      </w:r>
      <w:proofErr w:type="spellStart"/>
      <w:r w:rsidR="000C630E" w:rsidRPr="006314C9">
        <w:rPr>
          <w:lang w:val="en-GB"/>
        </w:rPr>
        <w:t>stage</w:t>
      </w:r>
      <w:r w:rsidRPr="006314C9">
        <w:rPr>
          <w:lang w:val="en-GB"/>
        </w:rPr>
        <w:t>accomplish</w:t>
      </w:r>
      <w:r w:rsidR="001B4719" w:rsidRPr="006314C9">
        <w:rPr>
          <w:lang w:val="en-GB"/>
        </w:rPr>
        <w:t>ing</w:t>
      </w:r>
      <w:proofErr w:type="spellEnd"/>
      <w:r w:rsidRPr="006314C9">
        <w:rPr>
          <w:lang w:val="en-GB"/>
        </w:rPr>
        <w:t xml:space="preserve"> 100% with the adoption of DCM No 379, dated 25.05.2016 “On approval of regulation on drinking water quality”</w:t>
      </w:r>
      <w:r w:rsidR="000B7747" w:rsidRPr="006314C9">
        <w:rPr>
          <w:lang w:val="en-GB"/>
        </w:rPr>
        <w:t>, however some of the conditions set cannot be met by the authorities</w:t>
      </w:r>
      <w:r w:rsidR="0008292C" w:rsidRPr="006314C9">
        <w:rPr>
          <w:lang w:val="en-GB"/>
        </w:rPr>
        <w:t xml:space="preserve"> thus revision is needed in order to establish reasonable time line for achieving some water quality standards by the water supplying public utilities</w:t>
      </w:r>
      <w:r w:rsidRPr="006314C9">
        <w:rPr>
          <w:lang w:val="en-GB"/>
        </w:rPr>
        <w:t xml:space="preserve">. In contrast, the transposition of the </w:t>
      </w:r>
      <w:r w:rsidRPr="006314C9">
        <w:rPr>
          <w:i/>
          <w:lang w:val="en-GB"/>
        </w:rPr>
        <w:t>Nitrates Directive</w:t>
      </w:r>
      <w:r w:rsidRPr="006314C9">
        <w:rPr>
          <w:lang w:val="en-GB"/>
        </w:rPr>
        <w:t xml:space="preserve"> is at an early stage, where only 4 provisions of the Directive have been transposed into the national legislation. Also, the </w:t>
      </w:r>
      <w:r w:rsidRPr="006314C9">
        <w:rPr>
          <w:i/>
          <w:lang w:val="en-GB"/>
        </w:rPr>
        <w:t>Bathing Waters Directive</w:t>
      </w:r>
      <w:r w:rsidRPr="006314C9">
        <w:rPr>
          <w:lang w:val="en-GB"/>
        </w:rPr>
        <w:t xml:space="preserve"> was completely transposed with DCM “On the approval of hygienic sanitary regulation</w:t>
      </w:r>
      <w:r w:rsidR="000B7747" w:rsidRPr="006314C9">
        <w:rPr>
          <w:lang w:val="en-GB"/>
        </w:rPr>
        <w:t>” and</w:t>
      </w:r>
      <w:r w:rsidRPr="006314C9">
        <w:rPr>
          <w:lang w:val="en-GB"/>
        </w:rPr>
        <w:t xml:space="preserve"> “For the management of bathing water quality”, approved in 2010.</w:t>
      </w:r>
    </w:p>
    <w:p w:rsidR="00590337" w:rsidRPr="006314C9" w:rsidRDefault="00BE162B" w:rsidP="00ED174C">
      <w:pPr>
        <w:spacing w:after="144"/>
        <w:rPr>
          <w:lang w:val="en-GB"/>
        </w:rPr>
      </w:pPr>
      <w:r w:rsidRPr="006314C9">
        <w:rPr>
          <w:lang w:val="en-GB"/>
        </w:rPr>
        <w:t xml:space="preserve">As part of progress in water administration field is considered also the adoption of DCM No 662, dated 21.09.2016 “On approval of tariffs of drinking water and liquid discharges”, DCM No 342, dated 4.05.2016 “On approval of territorial and </w:t>
      </w:r>
      <w:proofErr w:type="spellStart"/>
      <w:r w:rsidRPr="006314C9">
        <w:rPr>
          <w:lang w:val="en-GB"/>
        </w:rPr>
        <w:t>hydrographic</w:t>
      </w:r>
      <w:proofErr w:type="spellEnd"/>
      <w:r w:rsidRPr="006314C9">
        <w:rPr>
          <w:lang w:val="en-GB"/>
        </w:rPr>
        <w:t xml:space="preserve"> boundaries of water basins in the Republic of Albania and the centre and composition of the council for each of them”, and also DCM No 416, dated 13.5.2015 “On the approval of general and specific conditions, accompanying documents, validity deadlines, application forms for authorization and permission, decision-making review procedure and authorization and permit’s forms for use in water resources”. </w:t>
      </w:r>
    </w:p>
    <w:p w:rsidR="00590337" w:rsidRPr="006314C9" w:rsidRDefault="000C630E" w:rsidP="00ED174C">
      <w:pPr>
        <w:spacing w:after="144"/>
        <w:rPr>
          <w:lang w:val="en-GB"/>
        </w:rPr>
      </w:pPr>
      <w:r w:rsidRPr="006314C9">
        <w:rPr>
          <w:lang w:val="en-GB"/>
        </w:rPr>
        <w:t>S</w:t>
      </w:r>
      <w:r w:rsidR="000B7747" w:rsidRPr="006314C9">
        <w:rPr>
          <w:lang w:val="en-GB"/>
        </w:rPr>
        <w:t xml:space="preserve">ignificant efforts are </w:t>
      </w:r>
      <w:r w:rsidRPr="006314C9">
        <w:rPr>
          <w:lang w:val="en-GB"/>
        </w:rPr>
        <w:t xml:space="preserve">still </w:t>
      </w:r>
      <w:r w:rsidR="000B7747" w:rsidRPr="006314C9">
        <w:rPr>
          <w:lang w:val="en-GB"/>
        </w:rPr>
        <w:t xml:space="preserve">needed in order the national legislation </w:t>
      </w:r>
      <w:r w:rsidRPr="006314C9">
        <w:rPr>
          <w:lang w:val="en-GB"/>
        </w:rPr>
        <w:t xml:space="preserve">would be aligned </w:t>
      </w:r>
      <w:r w:rsidR="000B7747" w:rsidRPr="006314C9">
        <w:rPr>
          <w:lang w:val="en-GB"/>
        </w:rPr>
        <w:t>with the EU water legislation</w:t>
      </w:r>
      <w:r w:rsidR="006F5B92" w:rsidRPr="006314C9">
        <w:rPr>
          <w:lang w:val="en-GB"/>
        </w:rPr>
        <w:t>, includ</w:t>
      </w:r>
      <w:r w:rsidRPr="006314C9">
        <w:rPr>
          <w:lang w:val="en-GB"/>
        </w:rPr>
        <w:t xml:space="preserve">ing </w:t>
      </w:r>
      <w:r w:rsidR="006F5B92" w:rsidRPr="006314C9">
        <w:rPr>
          <w:lang w:val="en-GB"/>
        </w:rPr>
        <w:t xml:space="preserve">both development of a new legislation but as well revision of the existing one in order to establish better </w:t>
      </w:r>
      <w:r w:rsidR="0008292C" w:rsidRPr="006314C9">
        <w:rPr>
          <w:lang w:val="en-GB"/>
        </w:rPr>
        <w:t xml:space="preserve">mechanisms </w:t>
      </w:r>
      <w:r w:rsidR="006F5B92" w:rsidRPr="006314C9">
        <w:rPr>
          <w:lang w:val="en-GB"/>
        </w:rPr>
        <w:t xml:space="preserve">and instruments for implementation. </w:t>
      </w:r>
    </w:p>
    <w:p w:rsidR="00BE162B" w:rsidRPr="006314C9" w:rsidRDefault="00BE162B" w:rsidP="00152F5E">
      <w:pPr>
        <w:rPr>
          <w:lang w:val="en-GB"/>
        </w:rPr>
      </w:pPr>
      <w:r w:rsidRPr="006314C9">
        <w:rPr>
          <w:rFonts w:cs="Times New Roman"/>
          <w:b/>
          <w:lang w:val="en-GB"/>
        </w:rPr>
        <w:t>Implementation</w:t>
      </w:r>
    </w:p>
    <w:p w:rsidR="00590337" w:rsidRPr="006314C9" w:rsidRDefault="00BE162B">
      <w:pPr>
        <w:rPr>
          <w:lang w:val="en-GB"/>
        </w:rPr>
      </w:pPr>
      <w:r w:rsidRPr="006314C9">
        <w:rPr>
          <w:lang w:val="en-GB"/>
        </w:rPr>
        <w:t>The most important issues covered by the implementation of the water directives sub-chapter are grouped following:</w:t>
      </w:r>
    </w:p>
    <w:p w:rsidR="00BE162B" w:rsidRPr="006314C9" w:rsidRDefault="002F0A16" w:rsidP="00152F5E">
      <w:pPr>
        <w:pStyle w:val="ListParagraph"/>
        <w:numPr>
          <w:ilvl w:val="0"/>
          <w:numId w:val="17"/>
        </w:numPr>
        <w:spacing w:before="0" w:after="0"/>
        <w:jc w:val="left"/>
        <w:rPr>
          <w:rFonts w:cs="Times New Roman"/>
          <w:lang w:val="en-GB"/>
        </w:rPr>
      </w:pPr>
      <w:r w:rsidRPr="006314C9">
        <w:rPr>
          <w:rFonts w:cs="Times New Roman"/>
          <w:lang w:val="en-GB"/>
        </w:rPr>
        <w:t>Level of implementation of Water Directives</w:t>
      </w:r>
      <w:r w:rsidR="000A076B" w:rsidRPr="006314C9">
        <w:rPr>
          <w:rFonts w:cs="Times New Roman"/>
          <w:lang w:val="en-GB"/>
        </w:rPr>
        <w:t>,</w:t>
      </w:r>
    </w:p>
    <w:p w:rsidR="00BE162B" w:rsidRPr="006314C9" w:rsidRDefault="002F0A16" w:rsidP="00152F5E">
      <w:pPr>
        <w:pStyle w:val="ListParagraph"/>
        <w:numPr>
          <w:ilvl w:val="0"/>
          <w:numId w:val="17"/>
        </w:numPr>
        <w:spacing w:before="0" w:after="0"/>
        <w:jc w:val="left"/>
        <w:rPr>
          <w:rFonts w:cs="Times New Roman"/>
          <w:lang w:val="en-GB"/>
        </w:rPr>
      </w:pPr>
      <w:r w:rsidRPr="006314C9">
        <w:rPr>
          <w:rFonts w:cs="Times New Roman"/>
          <w:lang w:val="en-GB"/>
        </w:rPr>
        <w:t xml:space="preserve">River basin management plans, </w:t>
      </w:r>
    </w:p>
    <w:p w:rsidR="00BE162B" w:rsidRPr="006314C9" w:rsidRDefault="002F0A16" w:rsidP="00152F5E">
      <w:pPr>
        <w:pStyle w:val="ListParagraph"/>
        <w:numPr>
          <w:ilvl w:val="0"/>
          <w:numId w:val="17"/>
        </w:numPr>
        <w:spacing w:before="0" w:after="0"/>
        <w:jc w:val="left"/>
        <w:rPr>
          <w:rFonts w:cs="Times New Roman"/>
          <w:lang w:val="en-GB"/>
        </w:rPr>
      </w:pPr>
      <w:r w:rsidRPr="006314C9">
        <w:rPr>
          <w:rFonts w:cs="Times New Roman"/>
          <w:lang w:val="en-GB"/>
        </w:rPr>
        <w:t>Water monitoring,</w:t>
      </w:r>
    </w:p>
    <w:p w:rsidR="00BE162B" w:rsidRPr="006314C9" w:rsidRDefault="002F0A16" w:rsidP="00152F5E">
      <w:pPr>
        <w:pStyle w:val="ListParagraph"/>
        <w:numPr>
          <w:ilvl w:val="0"/>
          <w:numId w:val="17"/>
        </w:numPr>
        <w:spacing w:before="0" w:after="0"/>
        <w:jc w:val="left"/>
        <w:rPr>
          <w:rFonts w:cs="Times New Roman"/>
          <w:lang w:val="en-GB"/>
        </w:rPr>
      </w:pPr>
      <w:r w:rsidRPr="006314C9">
        <w:rPr>
          <w:rFonts w:cs="Times New Roman"/>
          <w:lang w:val="en-GB"/>
        </w:rPr>
        <w:t>Directive Specific Implementation Plans, and</w:t>
      </w:r>
    </w:p>
    <w:p w:rsidR="00BE162B" w:rsidRPr="006314C9" w:rsidRDefault="002F0A16" w:rsidP="006E3522">
      <w:pPr>
        <w:pStyle w:val="ListParagraph"/>
        <w:numPr>
          <w:ilvl w:val="0"/>
          <w:numId w:val="17"/>
        </w:numPr>
        <w:spacing w:before="0" w:after="0"/>
        <w:jc w:val="left"/>
        <w:rPr>
          <w:rFonts w:cs="Times New Roman"/>
          <w:lang w:val="en-GB"/>
        </w:rPr>
      </w:pPr>
      <w:r w:rsidRPr="006314C9">
        <w:rPr>
          <w:rFonts w:cs="Times New Roman"/>
          <w:lang w:val="en-GB"/>
        </w:rPr>
        <w:t>Competent authorit</w:t>
      </w:r>
      <w:r w:rsidR="00F40067" w:rsidRPr="006314C9">
        <w:rPr>
          <w:rFonts w:cs="Times New Roman"/>
          <w:lang w:val="en-GB"/>
        </w:rPr>
        <w:t>ies</w:t>
      </w:r>
      <w:r w:rsidR="006E3522" w:rsidRPr="006314C9">
        <w:rPr>
          <w:rFonts w:cs="Times New Roman"/>
          <w:lang w:val="en-GB"/>
        </w:rPr>
        <w:t xml:space="preserve"> and a</w:t>
      </w:r>
      <w:r w:rsidRPr="006314C9">
        <w:rPr>
          <w:rFonts w:cs="Times New Roman"/>
          <w:lang w:val="en-GB"/>
        </w:rPr>
        <w:t>dministrative capacity</w:t>
      </w:r>
      <w:r w:rsidR="00BE162B" w:rsidRPr="006314C9">
        <w:rPr>
          <w:rFonts w:cs="Times New Roman"/>
          <w:lang w:val="en-GB"/>
        </w:rPr>
        <w:t>.</w:t>
      </w:r>
    </w:p>
    <w:p w:rsidR="00BE162B" w:rsidRPr="006314C9" w:rsidRDefault="00BE162B" w:rsidP="00152F5E">
      <w:pPr>
        <w:pStyle w:val="BodyText"/>
        <w:spacing w:after="0" w:line="240" w:lineRule="auto"/>
        <w:jc w:val="both"/>
        <w:rPr>
          <w:rFonts w:ascii="Times New Roman" w:hAnsi="Times New Roman" w:cs="Times New Roman"/>
          <w:i/>
          <w:sz w:val="22"/>
          <w:szCs w:val="22"/>
          <w:lang w:val="en-GB" w:eastAsia="en-US"/>
        </w:rPr>
      </w:pPr>
    </w:p>
    <w:p w:rsidR="00BE162B" w:rsidRPr="006314C9" w:rsidRDefault="00BE162B" w:rsidP="00152F5E">
      <w:pPr>
        <w:pStyle w:val="BodyText"/>
        <w:spacing w:after="0" w:line="240" w:lineRule="auto"/>
        <w:jc w:val="both"/>
        <w:rPr>
          <w:rFonts w:ascii="Times New Roman" w:hAnsi="Times New Roman" w:cs="Times New Roman"/>
          <w:i/>
          <w:sz w:val="22"/>
          <w:szCs w:val="22"/>
          <w:lang w:val="en-GB" w:eastAsia="en-US"/>
        </w:rPr>
      </w:pPr>
      <w:r w:rsidRPr="006314C9">
        <w:rPr>
          <w:rFonts w:ascii="Times New Roman" w:hAnsi="Times New Roman" w:cs="Times New Roman"/>
          <w:i/>
          <w:sz w:val="22"/>
          <w:szCs w:val="22"/>
          <w:lang w:val="en-GB" w:eastAsia="en-US"/>
        </w:rPr>
        <w:t>Level of implementation of Water Directives</w:t>
      </w:r>
    </w:p>
    <w:p w:rsidR="00590337" w:rsidRPr="006314C9" w:rsidRDefault="00BE162B">
      <w:pPr>
        <w:rPr>
          <w:lang w:val="en-GB"/>
        </w:rPr>
      </w:pPr>
      <w:r w:rsidRPr="006314C9">
        <w:rPr>
          <w:lang w:val="en-GB"/>
        </w:rPr>
        <w:t>Directives under the</w:t>
      </w:r>
      <w:r w:rsidR="00537A4E" w:rsidRPr="006314C9">
        <w:rPr>
          <w:lang w:val="en-GB"/>
        </w:rPr>
        <w:t xml:space="preserve"> water</w:t>
      </w:r>
      <w:r w:rsidRPr="006314C9">
        <w:rPr>
          <w:lang w:val="en-GB"/>
        </w:rPr>
        <w:t xml:space="preserve"> subchapter have been implemented at different levels. </w:t>
      </w:r>
      <w:r w:rsidR="00BA2248" w:rsidRPr="006314C9">
        <w:rPr>
          <w:lang w:val="en-GB"/>
        </w:rPr>
        <w:t>P</w:t>
      </w:r>
      <w:r w:rsidRPr="006314C9">
        <w:rPr>
          <w:lang w:val="en-GB"/>
        </w:rPr>
        <w:t xml:space="preserve">artially implemented are four directives such as: Directive 2000/60 /EC on Water Framework; Directive 2008/105/EC on Environmental Quality Standards for Water; Directive 2006/7/EC on Bathing Water; Directive 98/83/EC on Drinking Water, in the Initial stage are four directives such as: Directive 2007/60/EC on Floods; Directive 2006/118/EC on Groundwater; Directive 2009/90/EC on Quality Assurance/Quality Control; Directive 91/271/EC UWWT, and not yet implemented there are two directives such as: Directive 2008/56/EC on Marine Strategy and Directive 91/676/EC on Nitrates. </w:t>
      </w:r>
    </w:p>
    <w:p w:rsidR="00590337" w:rsidRPr="006314C9" w:rsidRDefault="00BE162B">
      <w:pPr>
        <w:rPr>
          <w:lang w:val="en-GB"/>
        </w:rPr>
      </w:pPr>
      <w:r w:rsidRPr="006314C9">
        <w:rPr>
          <w:lang w:val="en-GB"/>
        </w:rPr>
        <w:t>As a summary: six defined/drafts river basin management plans exist</w:t>
      </w:r>
      <w:r w:rsidR="00713E18" w:rsidRPr="006314C9">
        <w:rPr>
          <w:lang w:val="en-GB"/>
        </w:rPr>
        <w:t>, not all adopted</w:t>
      </w:r>
      <w:r w:rsidRPr="006314C9">
        <w:rPr>
          <w:lang w:val="en-GB"/>
        </w:rPr>
        <w:t xml:space="preserve"> and not yet been implemented. </w:t>
      </w:r>
      <w:r w:rsidR="00AA2BDA" w:rsidRPr="006314C9">
        <w:rPr>
          <w:lang w:val="en-GB"/>
        </w:rPr>
        <w:t>Only n</w:t>
      </w:r>
      <w:r w:rsidR="00097DB8" w:rsidRPr="006314C9">
        <w:rPr>
          <w:lang w:val="en-GB"/>
        </w:rPr>
        <w:t>ine marine/coastal protected areas are registered</w:t>
      </w:r>
      <w:r w:rsidR="00C24210" w:rsidRPr="006314C9">
        <w:rPr>
          <w:lang w:val="en-GB"/>
        </w:rPr>
        <w:t>, however not all are identified</w:t>
      </w:r>
      <w:r w:rsidRPr="006314C9">
        <w:rPr>
          <w:lang w:val="en-GB"/>
        </w:rPr>
        <w:t>. The integrated water resource management strategy has been prepared, but not adopted yet. Water quality and its monitoring system have improved</w:t>
      </w:r>
      <w:r w:rsidR="001B4719" w:rsidRPr="006314C9">
        <w:rPr>
          <w:lang w:val="en-GB"/>
        </w:rPr>
        <w:t xml:space="preserve">, however is not in compliance with the directives’ </w:t>
      </w:r>
      <w:r w:rsidR="00537A4E" w:rsidRPr="006314C9">
        <w:rPr>
          <w:lang w:val="en-GB"/>
        </w:rPr>
        <w:t>requirements</w:t>
      </w:r>
      <w:r w:rsidRPr="006314C9">
        <w:rPr>
          <w:lang w:val="en-GB"/>
        </w:rPr>
        <w:t xml:space="preserve">. The number of operational waste water treatment plants increased, but their impact is limited by under </w:t>
      </w:r>
      <w:r w:rsidRPr="006314C9">
        <w:rPr>
          <w:lang w:val="en-GB"/>
        </w:rPr>
        <w:lastRenderedPageBreak/>
        <w:t xml:space="preserve">developed networks and household connections. There is a strong need to extend sewer networks and </w:t>
      </w:r>
      <w:r w:rsidR="00AA2BDA" w:rsidRPr="006314C9">
        <w:rPr>
          <w:lang w:val="en-GB"/>
        </w:rPr>
        <w:t xml:space="preserve">waste water </w:t>
      </w:r>
      <w:r w:rsidRPr="006314C9">
        <w:rPr>
          <w:lang w:val="en-GB"/>
        </w:rPr>
        <w:t>treatment plants, notably in urban, coastal and touris</w:t>
      </w:r>
      <w:r w:rsidR="00AA2BDA" w:rsidRPr="006314C9">
        <w:rPr>
          <w:lang w:val="en-GB"/>
        </w:rPr>
        <w:t>tic</w:t>
      </w:r>
      <w:r w:rsidRPr="006314C9">
        <w:rPr>
          <w:lang w:val="en-GB"/>
        </w:rPr>
        <w:t xml:space="preserve"> areas.</w:t>
      </w:r>
      <w:r w:rsidR="00537A4E" w:rsidRPr="006314C9">
        <w:rPr>
          <w:lang w:val="en-GB"/>
        </w:rPr>
        <w:t xml:space="preserve"> The planning of the implementation of the infrastructure related to waste water and drinking water is insufficient </w:t>
      </w:r>
      <w:r w:rsidR="00A234D8" w:rsidRPr="006314C9">
        <w:rPr>
          <w:lang w:val="en-GB"/>
        </w:rPr>
        <w:t>and there</w:t>
      </w:r>
      <w:r w:rsidR="00537A4E" w:rsidRPr="006314C9">
        <w:rPr>
          <w:lang w:val="en-GB"/>
        </w:rPr>
        <w:t xml:space="preserve"> is no long term plan which </w:t>
      </w:r>
      <w:proofErr w:type="spellStart"/>
      <w:r w:rsidR="00BA2248" w:rsidRPr="006314C9">
        <w:rPr>
          <w:lang w:val="en-GB"/>
        </w:rPr>
        <w:t>would</w:t>
      </w:r>
      <w:r w:rsidR="00537A4E" w:rsidRPr="006314C9">
        <w:rPr>
          <w:lang w:val="en-GB"/>
        </w:rPr>
        <w:t>assess</w:t>
      </w:r>
      <w:proofErr w:type="spellEnd"/>
      <w:r w:rsidR="00537A4E" w:rsidRPr="006314C9">
        <w:rPr>
          <w:lang w:val="en-GB"/>
        </w:rPr>
        <w:t xml:space="preserve"> the financial </w:t>
      </w:r>
      <w:r w:rsidR="00CD7CAC" w:rsidRPr="006314C9">
        <w:rPr>
          <w:lang w:val="en-GB"/>
        </w:rPr>
        <w:t>recourses</w:t>
      </w:r>
      <w:r w:rsidR="00537A4E" w:rsidRPr="006314C9">
        <w:rPr>
          <w:lang w:val="en-GB"/>
        </w:rPr>
        <w:t xml:space="preserve"> and time needed to fully implement the </w:t>
      </w:r>
      <w:r w:rsidR="00CD7CAC" w:rsidRPr="006314C9">
        <w:rPr>
          <w:lang w:val="en-GB"/>
        </w:rPr>
        <w:t>EU requirements</w:t>
      </w:r>
      <w:r w:rsidR="00537A4E" w:rsidRPr="006314C9">
        <w:rPr>
          <w:lang w:val="en-GB"/>
        </w:rPr>
        <w:t xml:space="preserve">. </w:t>
      </w:r>
      <w:r w:rsidR="00CD7CAC" w:rsidRPr="006314C9">
        <w:rPr>
          <w:lang w:val="en-GB"/>
        </w:rPr>
        <w:t xml:space="preserve">Such situation slows done the preparation of needed feasibility studies and project </w:t>
      </w:r>
      <w:r w:rsidR="00AA2BDA" w:rsidRPr="006314C9">
        <w:rPr>
          <w:lang w:val="en-GB"/>
        </w:rPr>
        <w:t>designs</w:t>
      </w:r>
      <w:r w:rsidR="00CD7CAC" w:rsidRPr="006314C9">
        <w:rPr>
          <w:lang w:val="en-GB"/>
        </w:rPr>
        <w:t xml:space="preserve"> for construction of the water infrastructure. Apart of some projects’ activities </w:t>
      </w:r>
      <w:r w:rsidR="00B32331" w:rsidRPr="006314C9">
        <w:rPr>
          <w:lang w:val="en-GB"/>
        </w:rPr>
        <w:t xml:space="preserve">(for </w:t>
      </w:r>
      <w:proofErr w:type="spellStart"/>
      <w:r w:rsidR="00B32331" w:rsidRPr="006314C9">
        <w:rPr>
          <w:lang w:val="en-GB"/>
        </w:rPr>
        <w:t>Mati</w:t>
      </w:r>
      <w:proofErr w:type="spellEnd"/>
      <w:r w:rsidR="00B32331" w:rsidRPr="006314C9">
        <w:rPr>
          <w:lang w:val="en-GB"/>
        </w:rPr>
        <w:t xml:space="preserve"> river basin) </w:t>
      </w:r>
      <w:r w:rsidR="00CD7CAC" w:rsidRPr="006314C9">
        <w:rPr>
          <w:lang w:val="en-GB"/>
        </w:rPr>
        <w:t xml:space="preserve">there is no risk assessment done for flood and no flood management planning document is prepared.  </w:t>
      </w:r>
    </w:p>
    <w:p w:rsidR="00590337" w:rsidRPr="006314C9" w:rsidRDefault="00CA1AB1">
      <w:pPr>
        <w:rPr>
          <w:lang w:val="en-GB"/>
        </w:rPr>
      </w:pPr>
      <w:r w:rsidRPr="006314C9">
        <w:rPr>
          <w:lang w:val="en-GB"/>
        </w:rPr>
        <w:t>There are many donors present in the water sub</w:t>
      </w:r>
      <w:r w:rsidR="00AA2BDA" w:rsidRPr="006314C9">
        <w:rPr>
          <w:lang w:val="en-GB"/>
        </w:rPr>
        <w:t>-</w:t>
      </w:r>
      <w:r w:rsidRPr="006314C9">
        <w:rPr>
          <w:lang w:val="en-GB"/>
        </w:rPr>
        <w:t xml:space="preserve">chapter thus there is a need for better coordination in order to efficiently utilise the available funds and to well plan water sector requirements implementation. </w:t>
      </w:r>
    </w:p>
    <w:p w:rsidR="00BE162B" w:rsidRPr="006314C9" w:rsidRDefault="00BE162B" w:rsidP="00152F5E">
      <w:pPr>
        <w:rPr>
          <w:rFonts w:cs="Times New Roman"/>
          <w:i/>
          <w:lang w:val="en-GB"/>
        </w:rPr>
      </w:pPr>
      <w:r w:rsidRPr="006314C9">
        <w:rPr>
          <w:rFonts w:cs="Times New Roman"/>
          <w:i/>
          <w:lang w:val="en-GB"/>
        </w:rPr>
        <w:t xml:space="preserve">River basin management plans </w:t>
      </w:r>
    </w:p>
    <w:p w:rsidR="00BE162B" w:rsidRPr="006314C9" w:rsidRDefault="00BE162B" w:rsidP="00BA2248">
      <w:pPr>
        <w:rPr>
          <w:lang w:val="en-GB"/>
        </w:rPr>
      </w:pPr>
      <w:r w:rsidRPr="006314C9">
        <w:rPr>
          <w:lang w:val="en-GB"/>
        </w:rPr>
        <w:t xml:space="preserve">The Law on Integrated Water Resources Management No. 111/2012 as amended has provided the legal umbrella for establishing integrated – WFD-compliant – river basin management. However, its actual implementation depends on further preparation and adoption of secondary legislation. For example, the draft DCM on classification of waters according to their chemical and ecological, quantitative and qualitative status is crucial, but has still not been adopted. Similarly, adoption of the draft DCM on content, development and implementation of the national strategy on water, river basins management plans and flood risks management plans are also pending. The first RBMP was prepared for the </w:t>
      </w:r>
      <w:proofErr w:type="spellStart"/>
      <w:r w:rsidRPr="006314C9">
        <w:rPr>
          <w:lang w:val="en-GB"/>
        </w:rPr>
        <w:t>Mati</w:t>
      </w:r>
      <w:proofErr w:type="spellEnd"/>
      <w:r w:rsidRPr="006314C9">
        <w:rPr>
          <w:lang w:val="en-GB"/>
        </w:rPr>
        <w:t xml:space="preserve"> River basin and issued in September 2010. Despite being adopted, it has not been implemented. </w:t>
      </w:r>
    </w:p>
    <w:p w:rsidR="00590337" w:rsidRPr="006314C9" w:rsidRDefault="00AA2BDA">
      <w:pPr>
        <w:rPr>
          <w:rFonts w:cs="Times New Roman"/>
          <w:color w:val="000000" w:themeColor="text1"/>
          <w:lang w:val="en-GB"/>
        </w:rPr>
      </w:pPr>
      <w:r w:rsidRPr="006314C9">
        <w:rPr>
          <w:lang w:val="en-GB"/>
        </w:rPr>
        <w:t xml:space="preserve">Currently, in terms of the so-far-achieved level of river basin planning and </w:t>
      </w:r>
      <w:proofErr w:type="spellStart"/>
      <w:r w:rsidRPr="006314C9">
        <w:rPr>
          <w:lang w:val="en-GB"/>
        </w:rPr>
        <w:t>implementation</w:t>
      </w:r>
      <w:r w:rsidRPr="006314C9">
        <w:rPr>
          <w:rFonts w:cs="Times New Roman"/>
          <w:color w:val="000000" w:themeColor="text1"/>
          <w:lang w:val="en-GB"/>
        </w:rPr>
        <w:t>in</w:t>
      </w:r>
      <w:proofErr w:type="spellEnd"/>
      <w:r w:rsidRPr="006314C9">
        <w:rPr>
          <w:rFonts w:cs="Times New Roman"/>
          <w:color w:val="000000" w:themeColor="text1"/>
          <w:lang w:val="en-GB"/>
        </w:rPr>
        <w:t xml:space="preserve"> the country, the six river basin management plans are in different stages of development – and a brief overview is presented below:</w:t>
      </w:r>
    </w:p>
    <w:p w:rsidR="0015326A" w:rsidRPr="006314C9" w:rsidRDefault="00AA2BDA" w:rsidP="00152F5E">
      <w:pPr>
        <w:pStyle w:val="ListParagraph"/>
        <w:numPr>
          <w:ilvl w:val="0"/>
          <w:numId w:val="1"/>
        </w:numPr>
        <w:spacing w:before="0" w:after="0"/>
        <w:rPr>
          <w:rFonts w:eastAsia="Times New Roman" w:cs="Times New Roman"/>
          <w:color w:val="000000" w:themeColor="text1"/>
          <w:lang w:val="en-GB"/>
        </w:rPr>
      </w:pPr>
      <w:r w:rsidRPr="006314C9">
        <w:rPr>
          <w:rFonts w:cs="Times New Roman"/>
          <w:color w:val="000000" w:themeColor="text1"/>
          <w:lang w:val="en-GB"/>
        </w:rPr>
        <w:t>The Drin-Buna, being the largest (and also trans-boundary) river basin has been subject to many projects funded by different development partners</w:t>
      </w:r>
      <w:r w:rsidR="00B32331" w:rsidRPr="006314C9">
        <w:rPr>
          <w:rFonts w:cs="Times New Roman"/>
          <w:color w:val="000000" w:themeColor="text1"/>
          <w:lang w:val="en-GB"/>
        </w:rPr>
        <w:t xml:space="preserve"> (donors)</w:t>
      </w:r>
      <w:r w:rsidRPr="006314C9">
        <w:rPr>
          <w:rFonts w:cs="Times New Roman"/>
          <w:color w:val="000000" w:themeColor="text1"/>
          <w:lang w:val="en-GB"/>
        </w:rPr>
        <w:t xml:space="preserve">. The national part of the river basin management plan was prepared in 2018 under the ‘Water Resources and Irrigation Project’ with World Bank / </w:t>
      </w:r>
      <w:proofErr w:type="spellStart"/>
      <w:r w:rsidRPr="006314C9">
        <w:rPr>
          <w:rFonts w:cs="Times New Roman"/>
          <w:color w:val="000000" w:themeColor="text1"/>
          <w:lang w:val="en-GB"/>
        </w:rPr>
        <w:t>S</w:t>
      </w:r>
      <w:r w:rsidR="00B32331" w:rsidRPr="006314C9">
        <w:rPr>
          <w:rFonts w:cs="Times New Roman"/>
          <w:color w:val="000000" w:themeColor="text1"/>
          <w:lang w:val="en-GB"/>
        </w:rPr>
        <w:t>ida</w:t>
      </w:r>
      <w:proofErr w:type="spellEnd"/>
      <w:r w:rsidRPr="006314C9">
        <w:rPr>
          <w:rFonts w:cs="Times New Roman"/>
          <w:color w:val="000000" w:themeColor="text1"/>
          <w:lang w:val="en-GB"/>
        </w:rPr>
        <w:t xml:space="preserve"> support. Moreover, under the </w:t>
      </w:r>
      <w:proofErr w:type="spellStart"/>
      <w:r w:rsidRPr="006314C9">
        <w:rPr>
          <w:rFonts w:cs="Times New Roman"/>
          <w:color w:val="000000" w:themeColor="text1"/>
          <w:lang w:val="en-GB"/>
        </w:rPr>
        <w:t>DrinCorda</w:t>
      </w:r>
      <w:proofErr w:type="spellEnd"/>
      <w:r w:rsidRPr="006314C9">
        <w:rPr>
          <w:rFonts w:cs="Times New Roman"/>
          <w:color w:val="000000" w:themeColor="text1"/>
          <w:lang w:val="en-GB"/>
        </w:rPr>
        <w:t xml:space="preserve"> project a </w:t>
      </w:r>
      <w:proofErr w:type="spellStart"/>
      <w:r w:rsidRPr="006314C9">
        <w:rPr>
          <w:rFonts w:cs="Times New Roman"/>
          <w:color w:val="000000" w:themeColor="text1"/>
          <w:lang w:val="en-GB"/>
        </w:rPr>
        <w:t>transboundary</w:t>
      </w:r>
      <w:proofErr w:type="spellEnd"/>
      <w:r w:rsidRPr="006314C9">
        <w:rPr>
          <w:rFonts w:cs="Times New Roman"/>
          <w:color w:val="000000" w:themeColor="text1"/>
          <w:lang w:val="en-GB"/>
        </w:rPr>
        <w:t xml:space="preserve"> management plan will be prepared for the extended Drin river basin, at </w:t>
      </w:r>
      <w:proofErr w:type="spellStart"/>
      <w:r w:rsidRPr="006314C9">
        <w:rPr>
          <w:rFonts w:cs="Times New Roman"/>
          <w:color w:val="000000" w:themeColor="text1"/>
          <w:lang w:val="en-GB"/>
        </w:rPr>
        <w:t>transboundary</w:t>
      </w:r>
      <w:proofErr w:type="spellEnd"/>
      <w:r w:rsidRPr="006314C9">
        <w:rPr>
          <w:rFonts w:cs="Times New Roman"/>
          <w:color w:val="000000" w:themeColor="text1"/>
          <w:lang w:val="en-GB"/>
        </w:rPr>
        <w:t xml:space="preserve"> level. In addition, a management plan for Lake </w:t>
      </w:r>
      <w:proofErr w:type="spellStart"/>
      <w:r w:rsidRPr="006314C9">
        <w:rPr>
          <w:rFonts w:cs="Times New Roman"/>
          <w:color w:val="000000" w:themeColor="text1"/>
          <w:lang w:val="en-GB"/>
        </w:rPr>
        <w:t>Shkodra</w:t>
      </w:r>
      <w:proofErr w:type="spellEnd"/>
      <w:r w:rsidRPr="006314C9">
        <w:rPr>
          <w:rFonts w:cs="Times New Roman"/>
          <w:color w:val="000000" w:themeColor="text1"/>
          <w:lang w:val="en-GB"/>
        </w:rPr>
        <w:t xml:space="preserve"> and </w:t>
      </w:r>
      <w:proofErr w:type="spellStart"/>
      <w:r w:rsidRPr="006314C9">
        <w:rPr>
          <w:rFonts w:cs="Times New Roman"/>
          <w:color w:val="000000" w:themeColor="text1"/>
          <w:lang w:val="en-GB"/>
        </w:rPr>
        <w:t>Ohrid</w:t>
      </w:r>
      <w:proofErr w:type="spellEnd"/>
      <w:r w:rsidRPr="006314C9">
        <w:rPr>
          <w:rFonts w:cs="Times New Roman"/>
          <w:color w:val="000000" w:themeColor="text1"/>
          <w:lang w:val="en-GB"/>
        </w:rPr>
        <w:t xml:space="preserve"> will be prepared as well. In particular, for the lakes as an integral part of this basin, under the </w:t>
      </w:r>
      <w:r w:rsidR="00B32331" w:rsidRPr="006314C9">
        <w:rPr>
          <w:rFonts w:cs="Times New Roman"/>
          <w:color w:val="000000" w:themeColor="text1"/>
          <w:lang w:val="en-GB"/>
        </w:rPr>
        <w:t xml:space="preserve">Conservation and sustainable use of biodiversity at Lakes </w:t>
      </w:r>
      <w:proofErr w:type="spellStart"/>
      <w:r w:rsidR="00B32331" w:rsidRPr="006314C9">
        <w:rPr>
          <w:rFonts w:cs="Times New Roman"/>
          <w:color w:val="000000" w:themeColor="text1"/>
          <w:lang w:val="en-GB"/>
        </w:rPr>
        <w:t>Prespa</w:t>
      </w:r>
      <w:proofErr w:type="spellEnd"/>
      <w:r w:rsidR="00B32331" w:rsidRPr="006314C9">
        <w:rPr>
          <w:rFonts w:cs="Times New Roman"/>
          <w:color w:val="000000" w:themeColor="text1"/>
          <w:lang w:val="en-GB"/>
        </w:rPr>
        <w:t xml:space="preserve">, </w:t>
      </w:r>
      <w:proofErr w:type="spellStart"/>
      <w:r w:rsidR="00B32331" w:rsidRPr="006314C9">
        <w:rPr>
          <w:rFonts w:cs="Times New Roman"/>
          <w:color w:val="000000" w:themeColor="text1"/>
          <w:lang w:val="en-GB"/>
        </w:rPr>
        <w:t>Ohrid</w:t>
      </w:r>
      <w:proofErr w:type="spellEnd"/>
      <w:r w:rsidR="00B32331" w:rsidRPr="006314C9">
        <w:rPr>
          <w:rFonts w:cs="Times New Roman"/>
          <w:color w:val="000000" w:themeColor="text1"/>
          <w:lang w:val="en-GB"/>
        </w:rPr>
        <w:t xml:space="preserve"> and </w:t>
      </w:r>
      <w:proofErr w:type="spellStart"/>
      <w:r w:rsidR="00B32331" w:rsidRPr="006314C9">
        <w:rPr>
          <w:rFonts w:cs="Times New Roman"/>
          <w:color w:val="000000" w:themeColor="text1"/>
          <w:lang w:val="en-GB"/>
        </w:rPr>
        <w:t>Shkodra</w:t>
      </w:r>
      <w:proofErr w:type="spellEnd"/>
      <w:r w:rsidR="00B32331" w:rsidRPr="006314C9">
        <w:rPr>
          <w:rFonts w:cs="Times New Roman"/>
          <w:color w:val="000000" w:themeColor="text1"/>
          <w:lang w:val="en-GB"/>
        </w:rPr>
        <w:t>/</w:t>
      </w:r>
      <w:proofErr w:type="spellStart"/>
      <w:r w:rsidR="00B32331" w:rsidRPr="006314C9">
        <w:rPr>
          <w:rFonts w:cs="Times New Roman"/>
          <w:color w:val="000000" w:themeColor="text1"/>
          <w:lang w:val="en-GB"/>
        </w:rPr>
        <w:t>Skadar</w:t>
      </w:r>
      <w:proofErr w:type="spellEnd"/>
      <w:r w:rsidR="00B32331" w:rsidRPr="006314C9">
        <w:rPr>
          <w:rFonts w:eastAsia="Times New Roman" w:cs="Times New Roman"/>
          <w:color w:val="000000" w:themeColor="text1"/>
          <w:lang w:val="en-GB"/>
        </w:rPr>
        <w:t xml:space="preserve"> (</w:t>
      </w:r>
      <w:r w:rsidRPr="006314C9">
        <w:rPr>
          <w:rFonts w:cs="Times New Roman"/>
          <w:color w:val="000000" w:themeColor="text1"/>
          <w:lang w:val="en-GB"/>
        </w:rPr>
        <w:t>CSBL 4</w:t>
      </w:r>
      <w:r w:rsidR="00B32331" w:rsidRPr="006314C9">
        <w:rPr>
          <w:rFonts w:cs="Times New Roman"/>
          <w:color w:val="000000" w:themeColor="text1"/>
          <w:lang w:val="en-GB"/>
        </w:rPr>
        <w:t>)</w:t>
      </w:r>
      <w:r w:rsidRPr="006314C9">
        <w:rPr>
          <w:rFonts w:cs="Times New Roman"/>
          <w:color w:val="000000" w:themeColor="text1"/>
          <w:lang w:val="en-GB"/>
        </w:rPr>
        <w:t xml:space="preserve"> (GIZ funded) Project, regular monitoring was conducted and specific reports were prepared with its main focus on biological monitoring and biodiversity issues related to the lake ecosystems.</w:t>
      </w:r>
    </w:p>
    <w:p w:rsidR="00AA2BDA" w:rsidRPr="006314C9" w:rsidRDefault="0015326A" w:rsidP="00152F5E">
      <w:pPr>
        <w:pStyle w:val="ListParagraph"/>
        <w:numPr>
          <w:ilvl w:val="0"/>
          <w:numId w:val="1"/>
        </w:numPr>
        <w:spacing w:before="0" w:after="0"/>
        <w:rPr>
          <w:rFonts w:eastAsia="Times New Roman" w:cs="Times New Roman"/>
          <w:color w:val="000000" w:themeColor="text1"/>
          <w:lang w:val="en-GB"/>
        </w:rPr>
      </w:pPr>
      <w:r w:rsidRPr="006314C9">
        <w:rPr>
          <w:rFonts w:cs="Times New Roman"/>
          <w:lang w:val="en-GB"/>
        </w:rPr>
        <w:t xml:space="preserve">For the </w:t>
      </w:r>
      <w:proofErr w:type="spellStart"/>
      <w:r w:rsidRPr="006314C9">
        <w:rPr>
          <w:rFonts w:cs="Times New Roman"/>
          <w:lang w:val="en-GB"/>
        </w:rPr>
        <w:t>Mati</w:t>
      </w:r>
      <w:proofErr w:type="spellEnd"/>
      <w:r w:rsidRPr="006314C9">
        <w:rPr>
          <w:rFonts w:cs="Times New Roman"/>
          <w:lang w:val="en-GB"/>
        </w:rPr>
        <w:t xml:space="preserve"> river basin a river basin management plan was prepared in 2010 and the National Water Council adopted this plan in 2012. The plan was prepared in 2010 with EU funding. </w:t>
      </w:r>
      <w:r w:rsidR="00BA2248" w:rsidRPr="006314C9">
        <w:rPr>
          <w:rFonts w:cs="Times New Roman"/>
          <w:lang w:val="en-GB"/>
        </w:rPr>
        <w:t xml:space="preserve">Despite </w:t>
      </w:r>
      <w:r w:rsidRPr="006314C9">
        <w:rPr>
          <w:rFonts w:cs="Times New Roman"/>
          <w:lang w:val="en-GB"/>
        </w:rPr>
        <w:t xml:space="preserve">of its adoption, the plan can be considered not more than a – well prepared - outline of a river basin management plan; the document elaborates well the WFD principles and its respective implementation requirements. Due to limited time insufficient data availability - the </w:t>
      </w:r>
      <w:proofErr w:type="spellStart"/>
      <w:r w:rsidRPr="006314C9">
        <w:rPr>
          <w:rFonts w:cs="Times New Roman"/>
          <w:lang w:val="en-GB"/>
        </w:rPr>
        <w:t>Mati</w:t>
      </w:r>
      <w:proofErr w:type="spellEnd"/>
      <w:r w:rsidRPr="006314C9">
        <w:rPr>
          <w:rFonts w:cs="Times New Roman"/>
          <w:lang w:val="en-GB"/>
        </w:rPr>
        <w:t xml:space="preserve"> RBM Plan was not meant to be more than an outline of a RBM Plan – with the aim was to provide clear recommendations for the preparation of a fully WFD compliant RBM Plan. The document is well structured, the analysis of pressures and impacts is descriptive, the economic analysis is only a description of major </w:t>
      </w:r>
      <w:proofErr w:type="spellStart"/>
      <w:r w:rsidRPr="006314C9">
        <w:rPr>
          <w:rFonts w:cs="Times New Roman"/>
          <w:lang w:val="en-GB"/>
        </w:rPr>
        <w:t>factorscontribution</w:t>
      </w:r>
      <w:proofErr w:type="spellEnd"/>
      <w:r w:rsidRPr="006314C9">
        <w:rPr>
          <w:rFonts w:cs="Times New Roman"/>
          <w:lang w:val="en-GB"/>
        </w:rPr>
        <w:t xml:space="preserve"> to the economy in the basin and the programme of measures contains very general measures. Through a separate project, a comprehensive Feasibility Study for improving flood protection infrastructure in </w:t>
      </w:r>
      <w:proofErr w:type="spellStart"/>
      <w:r w:rsidRPr="006314C9">
        <w:rPr>
          <w:rFonts w:cs="Times New Roman"/>
          <w:lang w:val="en-GB"/>
        </w:rPr>
        <w:t>Mati</w:t>
      </w:r>
      <w:proofErr w:type="spellEnd"/>
      <w:r w:rsidRPr="006314C9">
        <w:rPr>
          <w:rFonts w:cs="Times New Roman"/>
          <w:lang w:val="en-GB"/>
        </w:rPr>
        <w:t xml:space="preserve"> River has been prepared under the WBIF. Massive floods of </w:t>
      </w:r>
      <w:proofErr w:type="spellStart"/>
      <w:r w:rsidRPr="006314C9">
        <w:rPr>
          <w:rFonts w:cs="Times New Roman"/>
          <w:lang w:val="en-GB"/>
        </w:rPr>
        <w:t>Mati</w:t>
      </w:r>
      <w:proofErr w:type="spellEnd"/>
      <w:r w:rsidRPr="006314C9">
        <w:rPr>
          <w:rFonts w:cs="Times New Roman"/>
          <w:lang w:val="en-GB"/>
        </w:rPr>
        <w:t xml:space="preserve"> </w:t>
      </w:r>
      <w:proofErr w:type="gramStart"/>
      <w:r w:rsidRPr="006314C9">
        <w:rPr>
          <w:rFonts w:cs="Times New Roman"/>
          <w:lang w:val="en-GB"/>
        </w:rPr>
        <w:t>river</w:t>
      </w:r>
      <w:proofErr w:type="gramEnd"/>
      <w:r w:rsidRPr="006314C9">
        <w:rPr>
          <w:rFonts w:cs="Times New Roman"/>
          <w:lang w:val="en-GB"/>
        </w:rPr>
        <w:t xml:space="preserve"> have been recorded in 1962, 1971, 1976, 1979, 1986 and 1992, 2003 and during 2009-2010. The existing dikes have been </w:t>
      </w:r>
      <w:proofErr w:type="spellStart"/>
      <w:r w:rsidRPr="006314C9">
        <w:rPr>
          <w:rFonts w:cs="Times New Roman"/>
          <w:lang w:val="en-GB"/>
        </w:rPr>
        <w:t>overflown</w:t>
      </w:r>
      <w:proofErr w:type="spellEnd"/>
      <w:r w:rsidRPr="006314C9">
        <w:rPr>
          <w:rFonts w:cs="Times New Roman"/>
          <w:lang w:val="en-GB"/>
        </w:rPr>
        <w:t xml:space="preserve"> and the areas on two sides were inundated. The flooded areas have reached a surface of around 10 000 hectare. Despite these issues, the </w:t>
      </w:r>
      <w:proofErr w:type="spellStart"/>
      <w:r w:rsidRPr="006314C9">
        <w:rPr>
          <w:rFonts w:cs="Times New Roman"/>
          <w:lang w:val="en-GB"/>
        </w:rPr>
        <w:t>Mati</w:t>
      </w:r>
      <w:proofErr w:type="spellEnd"/>
      <w:r w:rsidRPr="006314C9">
        <w:rPr>
          <w:rFonts w:cs="Times New Roman"/>
          <w:lang w:val="en-GB"/>
        </w:rPr>
        <w:t xml:space="preserve"> river basin management plan does not comprise climate change and flood protection measures in the programme. Although the plan was prepared in 2010 and adopted in 2012 it was never actually implemented because the programme of measures did </w:t>
      </w:r>
      <w:r w:rsidRPr="006314C9">
        <w:rPr>
          <w:rFonts w:cs="Times New Roman"/>
          <w:lang w:val="en-GB"/>
        </w:rPr>
        <w:lastRenderedPageBreak/>
        <w:t xml:space="preserve">not elaborate sufficiently clear defined measures to meet specific water quality objective for this basin. Considering the time passed since the preparation of the outline RBMP in 2010, the </w:t>
      </w:r>
      <w:proofErr w:type="spellStart"/>
      <w:r w:rsidRPr="006314C9">
        <w:rPr>
          <w:rFonts w:cs="Times New Roman"/>
          <w:lang w:val="en-GB"/>
        </w:rPr>
        <w:t>Mati</w:t>
      </w:r>
      <w:proofErr w:type="spellEnd"/>
      <w:r w:rsidRPr="006314C9">
        <w:rPr>
          <w:rFonts w:cs="Times New Roman"/>
          <w:lang w:val="en-GB"/>
        </w:rPr>
        <w:t xml:space="preserve"> RBMP can now serve well as a (baseline) first cycle management plan from where lessons learned and problems identified can be used to ‘upgrade’ it and ‘improve’ its quality in order to continue with the second cycle and prepare full scale RBMP. Currently within the project Capacity Development – EU Support to Integrated Water Management (EUSIWM) in Albania (EU and ADA (Austrian Development Agency)) co-funded project the activities are ongoing for preparation of RBMP for </w:t>
      </w:r>
      <w:proofErr w:type="spellStart"/>
      <w:r w:rsidRPr="006314C9">
        <w:rPr>
          <w:rFonts w:cs="Times New Roman"/>
          <w:lang w:val="en-GB"/>
        </w:rPr>
        <w:t>Mati</w:t>
      </w:r>
      <w:proofErr w:type="spellEnd"/>
      <w:r w:rsidRPr="006314C9">
        <w:rPr>
          <w:rFonts w:cs="Times New Roman"/>
          <w:lang w:val="en-GB"/>
        </w:rPr>
        <w:t xml:space="preserve"> river basin.</w:t>
      </w:r>
    </w:p>
    <w:p w:rsidR="00AA2BDA" w:rsidRPr="006314C9" w:rsidRDefault="00AA2BDA" w:rsidP="007B0BC7">
      <w:pPr>
        <w:pStyle w:val="ListParagraph"/>
        <w:numPr>
          <w:ilvl w:val="0"/>
          <w:numId w:val="25"/>
        </w:numPr>
        <w:autoSpaceDE w:val="0"/>
        <w:autoSpaceDN w:val="0"/>
        <w:adjustRightInd w:val="0"/>
        <w:spacing w:before="0" w:after="0"/>
        <w:rPr>
          <w:rFonts w:cs="Times New Roman"/>
          <w:color w:val="000000" w:themeColor="text1"/>
          <w:lang w:val="en-GB"/>
        </w:rPr>
      </w:pPr>
      <w:r w:rsidRPr="006314C9">
        <w:rPr>
          <w:rFonts w:cs="Times New Roman"/>
          <w:color w:val="000000" w:themeColor="text1"/>
          <w:lang w:val="en-GB"/>
        </w:rPr>
        <w:t xml:space="preserve">The </w:t>
      </w:r>
      <w:proofErr w:type="spellStart"/>
      <w:r w:rsidRPr="006314C9">
        <w:rPr>
          <w:rFonts w:cs="Times New Roman"/>
          <w:color w:val="000000" w:themeColor="text1"/>
          <w:lang w:val="en-GB"/>
        </w:rPr>
        <w:t>Ishem-Erzen</w:t>
      </w:r>
      <w:proofErr w:type="spellEnd"/>
      <w:r w:rsidRPr="006314C9">
        <w:rPr>
          <w:rFonts w:cs="Times New Roman"/>
          <w:color w:val="000000" w:themeColor="text1"/>
          <w:lang w:val="en-GB"/>
        </w:rPr>
        <w:t xml:space="preserve"> river basin is located in the centre of the country, comprising the two biggest cities in Albania - Tirana and Durres - with the highest population pressure on the environment in general but specifically to the water resources. As such, a management plan is crucial in order to facilitate decision making processes for policy makers including issues ranging from water use (from abstraction and to discharge), water quality management and water protection. A feasibility study was conducted in 2010</w:t>
      </w:r>
      <w:r w:rsidR="007442D1" w:rsidRPr="006314C9">
        <w:rPr>
          <w:rFonts w:cs="Times New Roman"/>
          <w:color w:val="000000" w:themeColor="text1"/>
          <w:lang w:val="en-GB"/>
        </w:rPr>
        <w:t xml:space="preserve"> by</w:t>
      </w:r>
      <w:r w:rsidRPr="006314C9">
        <w:rPr>
          <w:rFonts w:cs="Times New Roman"/>
          <w:color w:val="000000" w:themeColor="text1"/>
          <w:lang w:val="en-GB"/>
        </w:rPr>
        <w:t xml:space="preserve"> SGI Studio </w:t>
      </w:r>
      <w:proofErr w:type="spellStart"/>
      <w:r w:rsidRPr="006314C9">
        <w:rPr>
          <w:rFonts w:cs="Times New Roman"/>
          <w:color w:val="000000" w:themeColor="text1"/>
          <w:lang w:val="en-GB"/>
        </w:rPr>
        <w:t>Galli</w:t>
      </w:r>
      <w:proofErr w:type="spellEnd"/>
      <w:r w:rsidRPr="006314C9">
        <w:rPr>
          <w:rFonts w:cs="Times New Roman"/>
          <w:color w:val="000000" w:themeColor="text1"/>
          <w:lang w:val="en-GB"/>
        </w:rPr>
        <w:t xml:space="preserve"> </w:t>
      </w:r>
      <w:proofErr w:type="spellStart"/>
      <w:r w:rsidRPr="006314C9">
        <w:rPr>
          <w:rFonts w:cs="Times New Roman"/>
          <w:color w:val="000000" w:themeColor="text1"/>
          <w:lang w:val="en-GB"/>
        </w:rPr>
        <w:t>IngeneriaSpA</w:t>
      </w:r>
      <w:proofErr w:type="spellEnd"/>
      <w:r w:rsidRPr="006314C9">
        <w:rPr>
          <w:rFonts w:cs="Times New Roman"/>
          <w:color w:val="000000" w:themeColor="text1"/>
          <w:lang w:val="en-GB"/>
        </w:rPr>
        <w:t xml:space="preserve">, Italy based on monitoring of water quality in the </w:t>
      </w:r>
      <w:proofErr w:type="spellStart"/>
      <w:r w:rsidRPr="006314C9">
        <w:rPr>
          <w:rFonts w:cs="Times New Roman"/>
          <w:color w:val="000000" w:themeColor="text1"/>
          <w:lang w:val="en-GB"/>
        </w:rPr>
        <w:t>Erzen</w:t>
      </w:r>
      <w:proofErr w:type="spellEnd"/>
      <w:r w:rsidRPr="006314C9">
        <w:rPr>
          <w:rFonts w:cs="Times New Roman"/>
          <w:color w:val="000000" w:themeColor="text1"/>
          <w:lang w:val="en-GB"/>
        </w:rPr>
        <w:t xml:space="preserve"> </w:t>
      </w:r>
      <w:proofErr w:type="gramStart"/>
      <w:r w:rsidRPr="006314C9">
        <w:rPr>
          <w:rFonts w:cs="Times New Roman"/>
          <w:color w:val="000000" w:themeColor="text1"/>
          <w:lang w:val="en-GB"/>
        </w:rPr>
        <w:t>river</w:t>
      </w:r>
      <w:proofErr w:type="gramEnd"/>
      <w:r w:rsidRPr="006314C9">
        <w:rPr>
          <w:rFonts w:cs="Times New Roman"/>
          <w:color w:val="000000" w:themeColor="text1"/>
          <w:lang w:val="en-GB"/>
        </w:rPr>
        <w:t xml:space="preserve">. A GIS system was established for the parameters monitored and data collected, however the system was never used. All the monitoring points are shown with the respective coordinates so they can be inserted in the maps. The report contains information on microbiological monitoring, physical chemical parameters for both surface and </w:t>
      </w:r>
      <w:proofErr w:type="spellStart"/>
      <w:r w:rsidRPr="006314C9">
        <w:rPr>
          <w:rFonts w:cs="Times New Roman"/>
          <w:color w:val="000000" w:themeColor="text1"/>
          <w:lang w:val="en-GB"/>
        </w:rPr>
        <w:t>groundwaters</w:t>
      </w:r>
      <w:proofErr w:type="spellEnd"/>
      <w:r w:rsidRPr="006314C9">
        <w:rPr>
          <w:rFonts w:cs="Times New Roman"/>
          <w:color w:val="000000" w:themeColor="text1"/>
          <w:lang w:val="en-GB"/>
        </w:rPr>
        <w:t>, and water flow measurements. All the monitoring was conducted during 2009-2010. The document was never adopted and therefore never implemented.</w:t>
      </w:r>
      <w:r w:rsidR="0046226B" w:rsidRPr="006314C9">
        <w:rPr>
          <w:rFonts w:cs="Times New Roman"/>
          <w:color w:val="000000" w:themeColor="text1"/>
          <w:lang w:val="en-GB"/>
        </w:rPr>
        <w:t xml:space="preserve"> Within the EUSIWM project the activities are ongoing for preparation of </w:t>
      </w:r>
      <w:proofErr w:type="spellStart"/>
      <w:r w:rsidR="0046226B" w:rsidRPr="006314C9">
        <w:rPr>
          <w:rFonts w:cs="Times New Roman"/>
          <w:color w:val="000000" w:themeColor="text1"/>
          <w:lang w:val="en-GB"/>
        </w:rPr>
        <w:t>Ishem-Erzen</w:t>
      </w:r>
      <w:proofErr w:type="spellEnd"/>
      <w:r w:rsidR="0046226B" w:rsidRPr="006314C9">
        <w:rPr>
          <w:rFonts w:cs="Times New Roman"/>
          <w:color w:val="000000" w:themeColor="text1"/>
          <w:lang w:val="en-GB"/>
        </w:rPr>
        <w:t xml:space="preserve"> river basin</w:t>
      </w:r>
      <w:r w:rsidR="007442D1" w:rsidRPr="006314C9">
        <w:rPr>
          <w:rFonts w:cs="Times New Roman"/>
          <w:color w:val="000000" w:themeColor="text1"/>
          <w:lang w:val="en-GB"/>
        </w:rPr>
        <w:t xml:space="preserve"> plan</w:t>
      </w:r>
      <w:r w:rsidR="0046226B" w:rsidRPr="006314C9">
        <w:rPr>
          <w:rFonts w:cs="Times New Roman"/>
          <w:color w:val="000000" w:themeColor="text1"/>
          <w:lang w:val="en-GB"/>
        </w:rPr>
        <w:t>.</w:t>
      </w:r>
    </w:p>
    <w:p w:rsidR="00AA2BDA" w:rsidRPr="006314C9" w:rsidRDefault="00AA2BDA" w:rsidP="00152F5E">
      <w:pPr>
        <w:pStyle w:val="ListParagraph"/>
        <w:numPr>
          <w:ilvl w:val="0"/>
          <w:numId w:val="25"/>
        </w:numPr>
        <w:autoSpaceDE w:val="0"/>
        <w:autoSpaceDN w:val="0"/>
        <w:adjustRightInd w:val="0"/>
        <w:spacing w:before="0" w:after="0"/>
        <w:rPr>
          <w:rFonts w:cs="Times New Roman"/>
          <w:color w:val="000000" w:themeColor="text1"/>
          <w:lang w:val="en-GB"/>
        </w:rPr>
      </w:pPr>
      <w:proofErr w:type="spellStart"/>
      <w:r w:rsidRPr="006314C9">
        <w:rPr>
          <w:rFonts w:cs="Times New Roman"/>
          <w:color w:val="000000" w:themeColor="text1"/>
          <w:lang w:val="en-GB"/>
        </w:rPr>
        <w:t>Shkumbin</w:t>
      </w:r>
      <w:proofErr w:type="spellEnd"/>
      <w:r w:rsidRPr="006314C9">
        <w:rPr>
          <w:rFonts w:cs="Times New Roman"/>
          <w:color w:val="000000" w:themeColor="text1"/>
          <w:lang w:val="en-GB"/>
        </w:rPr>
        <w:t xml:space="preserve"> river basin has a very recently drafted management plan prepared by the EU funded IBECA Project. The document follows the outline of the management plan as required by the WFD and includes a programme of measures comprising also measures related to climate change adaptation. It is a well-structured plan finalized in 2018. The economic analysis is conducted only for water supply and sewerage nevertheless it is the first river basin to have a first economic analysis serving to cost recovery principles. The plan shall be subject to implementation as soon as it will be adopted.</w:t>
      </w:r>
    </w:p>
    <w:p w:rsidR="00AA2BDA" w:rsidRPr="006314C9" w:rsidRDefault="00AA2BDA" w:rsidP="00152F5E">
      <w:pPr>
        <w:pStyle w:val="ListParagraph"/>
        <w:numPr>
          <w:ilvl w:val="0"/>
          <w:numId w:val="25"/>
        </w:numPr>
        <w:autoSpaceDE w:val="0"/>
        <w:autoSpaceDN w:val="0"/>
        <w:adjustRightInd w:val="0"/>
        <w:spacing w:before="0" w:after="0"/>
        <w:rPr>
          <w:rFonts w:cs="Times New Roman"/>
          <w:color w:val="000000" w:themeColor="text1"/>
          <w:lang w:val="en-GB"/>
        </w:rPr>
      </w:pPr>
      <w:r w:rsidRPr="006314C9">
        <w:rPr>
          <w:rFonts w:cs="Times New Roman"/>
          <w:color w:val="000000" w:themeColor="text1"/>
          <w:lang w:val="en-GB"/>
        </w:rPr>
        <w:t xml:space="preserve">The </w:t>
      </w:r>
      <w:proofErr w:type="spellStart"/>
      <w:r w:rsidRPr="006314C9">
        <w:rPr>
          <w:rFonts w:cs="Times New Roman"/>
          <w:color w:val="000000" w:themeColor="text1"/>
          <w:lang w:val="en-GB"/>
        </w:rPr>
        <w:t>Seman</w:t>
      </w:r>
      <w:proofErr w:type="spellEnd"/>
      <w:r w:rsidRPr="006314C9">
        <w:rPr>
          <w:rFonts w:cs="Times New Roman"/>
          <w:color w:val="000000" w:themeColor="text1"/>
          <w:lang w:val="en-GB"/>
        </w:rPr>
        <w:t xml:space="preserve"> river basin has a river basin management plan prepared in 2018 under the ‘Water Resources and Irrigation Proj</w:t>
      </w:r>
      <w:r w:rsidR="00D638F0" w:rsidRPr="006314C9">
        <w:rPr>
          <w:rFonts w:cs="Times New Roman"/>
          <w:color w:val="000000" w:themeColor="text1"/>
          <w:lang w:val="en-GB"/>
        </w:rPr>
        <w:t xml:space="preserve">ect’, with the World Bank / </w:t>
      </w:r>
      <w:proofErr w:type="spellStart"/>
      <w:r w:rsidR="00D638F0" w:rsidRPr="006314C9">
        <w:rPr>
          <w:rFonts w:cs="Times New Roman"/>
          <w:color w:val="000000" w:themeColor="text1"/>
          <w:lang w:val="en-GB"/>
        </w:rPr>
        <w:t>Sida</w:t>
      </w:r>
      <w:proofErr w:type="spellEnd"/>
      <w:r w:rsidRPr="006314C9">
        <w:rPr>
          <w:rFonts w:cs="Times New Roman"/>
          <w:color w:val="000000" w:themeColor="text1"/>
          <w:lang w:val="en-GB"/>
        </w:rPr>
        <w:t xml:space="preserve"> support. This plan was prepared by the same consultancy as the Drin-Buna plan. The plan was not yet adopted.</w:t>
      </w:r>
    </w:p>
    <w:p w:rsidR="0015326A" w:rsidRPr="006314C9" w:rsidRDefault="00AA2BDA" w:rsidP="00152F5E">
      <w:pPr>
        <w:pStyle w:val="ListParagraph"/>
        <w:numPr>
          <w:ilvl w:val="0"/>
          <w:numId w:val="25"/>
        </w:numPr>
        <w:autoSpaceDE w:val="0"/>
        <w:autoSpaceDN w:val="0"/>
        <w:adjustRightInd w:val="0"/>
        <w:spacing w:before="0" w:after="0"/>
        <w:rPr>
          <w:lang w:val="en-GB"/>
        </w:rPr>
      </w:pPr>
      <w:r w:rsidRPr="006314C9">
        <w:rPr>
          <w:rFonts w:cs="Times New Roman"/>
          <w:color w:val="000000" w:themeColor="text1"/>
          <w:lang w:val="en-GB"/>
        </w:rPr>
        <w:t xml:space="preserve">The </w:t>
      </w:r>
      <w:proofErr w:type="spellStart"/>
      <w:r w:rsidRPr="006314C9">
        <w:rPr>
          <w:rFonts w:cs="Times New Roman"/>
          <w:color w:val="000000" w:themeColor="text1"/>
          <w:lang w:val="en-GB"/>
        </w:rPr>
        <w:t>Vjosa</w:t>
      </w:r>
      <w:proofErr w:type="spellEnd"/>
      <w:r w:rsidRPr="006314C9">
        <w:rPr>
          <w:rFonts w:cs="Times New Roman"/>
          <w:color w:val="000000" w:themeColor="text1"/>
          <w:lang w:val="en-GB"/>
        </w:rPr>
        <w:t xml:space="preserve"> river basin is a </w:t>
      </w:r>
      <w:proofErr w:type="spellStart"/>
      <w:r w:rsidRPr="006314C9">
        <w:rPr>
          <w:rFonts w:cs="Times New Roman"/>
          <w:color w:val="000000" w:themeColor="text1"/>
          <w:lang w:val="en-GB"/>
        </w:rPr>
        <w:t>transboundary</w:t>
      </w:r>
      <w:proofErr w:type="spellEnd"/>
      <w:r w:rsidRPr="006314C9">
        <w:rPr>
          <w:rFonts w:cs="Times New Roman"/>
          <w:color w:val="000000" w:themeColor="text1"/>
          <w:lang w:val="en-GB"/>
        </w:rPr>
        <w:t xml:space="preserve"> basin. A river basin management study was conducted by a French water company in 2015. However, data generated through the study are not available; this concerns also the data of a water quality monitoring study on </w:t>
      </w:r>
      <w:proofErr w:type="spellStart"/>
      <w:r w:rsidRPr="006314C9">
        <w:rPr>
          <w:rFonts w:cs="Times New Roman"/>
          <w:color w:val="000000" w:themeColor="text1"/>
          <w:lang w:val="en-GB"/>
        </w:rPr>
        <w:t>Vjosa</w:t>
      </w:r>
      <w:proofErr w:type="spellEnd"/>
      <w:r w:rsidRPr="006314C9">
        <w:rPr>
          <w:rFonts w:cs="Times New Roman"/>
          <w:color w:val="000000" w:themeColor="text1"/>
          <w:lang w:val="en-GB"/>
        </w:rPr>
        <w:t xml:space="preserve"> river quality, however, there is no official track of the data gathered and its results. The study was conducted by a Greek university in cooperation with </w:t>
      </w:r>
      <w:proofErr w:type="spellStart"/>
      <w:r w:rsidRPr="006314C9">
        <w:rPr>
          <w:rFonts w:cs="Times New Roman"/>
          <w:color w:val="000000" w:themeColor="text1"/>
          <w:lang w:val="en-GB"/>
        </w:rPr>
        <w:t>Vlora</w:t>
      </w:r>
      <w:proofErr w:type="spellEnd"/>
      <w:r w:rsidRPr="006314C9">
        <w:rPr>
          <w:rFonts w:cs="Times New Roman"/>
          <w:color w:val="000000" w:themeColor="text1"/>
          <w:lang w:val="en-GB"/>
        </w:rPr>
        <w:t xml:space="preserve"> </w:t>
      </w:r>
      <w:proofErr w:type="gramStart"/>
      <w:r w:rsidRPr="006314C9">
        <w:rPr>
          <w:rFonts w:cs="Times New Roman"/>
          <w:color w:val="000000" w:themeColor="text1"/>
          <w:lang w:val="en-GB"/>
        </w:rPr>
        <w:t>university</w:t>
      </w:r>
      <w:proofErr w:type="gramEnd"/>
      <w:r w:rsidRPr="006314C9">
        <w:rPr>
          <w:rFonts w:cs="Times New Roman"/>
          <w:color w:val="000000" w:themeColor="text1"/>
          <w:lang w:val="en-GB"/>
        </w:rPr>
        <w:t>.</w:t>
      </w:r>
      <w:r w:rsidR="0046226B" w:rsidRPr="006314C9">
        <w:rPr>
          <w:rFonts w:cs="Times New Roman"/>
          <w:color w:val="000000" w:themeColor="text1"/>
          <w:lang w:val="en-GB"/>
        </w:rPr>
        <w:t xml:space="preserve"> Within the EUSIWM project reparation of the Gap Analysis within 2019 will be done with a possibility to develop as well the RBMP (discussion between ADA/ EUD / AMBU on the next steps for the work in this basin).</w:t>
      </w:r>
    </w:p>
    <w:p w:rsidR="00BE162B" w:rsidRPr="006314C9" w:rsidRDefault="00BE162B" w:rsidP="007B0BC7">
      <w:pPr>
        <w:rPr>
          <w:rFonts w:cs="Times New Roman"/>
          <w:lang w:val="en-GB"/>
        </w:rPr>
      </w:pPr>
      <w:r w:rsidRPr="006314C9">
        <w:rPr>
          <w:lang w:val="en-GB"/>
        </w:rPr>
        <w:t xml:space="preserve">River basin management plans status in Albania is summarized in the following table: </w:t>
      </w:r>
    </w:p>
    <w:tbl>
      <w:tblPr>
        <w:tblStyle w:val="TableGrid"/>
        <w:tblW w:w="0" w:type="auto"/>
        <w:tblLayout w:type="fixed"/>
        <w:tblLook w:val="04A0"/>
      </w:tblPr>
      <w:tblGrid>
        <w:gridCol w:w="1558"/>
        <w:gridCol w:w="1698"/>
        <w:gridCol w:w="1701"/>
        <w:gridCol w:w="1276"/>
        <w:gridCol w:w="1558"/>
        <w:gridCol w:w="1559"/>
      </w:tblGrid>
      <w:tr w:rsidR="007442D1" w:rsidRPr="006314C9" w:rsidTr="007442D1">
        <w:trPr>
          <w:trHeight w:val="1518"/>
        </w:trPr>
        <w:tc>
          <w:tcPr>
            <w:tcW w:w="1558" w:type="dxa"/>
          </w:tcPr>
          <w:p w:rsidR="00590337" w:rsidRPr="006314C9" w:rsidRDefault="002F0A16">
            <w:pPr>
              <w:ind w:hanging="21"/>
              <w:jc w:val="center"/>
              <w:rPr>
                <w:rFonts w:cs="Times New Roman"/>
                <w:b/>
                <w:sz w:val="20"/>
                <w:szCs w:val="20"/>
                <w:lang w:val="en-GB"/>
              </w:rPr>
            </w:pPr>
            <w:r w:rsidRPr="006314C9">
              <w:rPr>
                <w:rFonts w:cs="Times New Roman"/>
                <w:b/>
                <w:sz w:val="20"/>
                <w:szCs w:val="20"/>
                <w:lang w:val="en-GB"/>
              </w:rPr>
              <w:t>RBMP</w:t>
            </w:r>
          </w:p>
        </w:tc>
        <w:tc>
          <w:tcPr>
            <w:tcW w:w="1698" w:type="dxa"/>
          </w:tcPr>
          <w:p w:rsidR="00590337" w:rsidRPr="006314C9" w:rsidRDefault="002F0A16">
            <w:pPr>
              <w:jc w:val="center"/>
              <w:rPr>
                <w:rFonts w:cs="Times New Roman"/>
                <w:b/>
                <w:sz w:val="20"/>
                <w:szCs w:val="20"/>
                <w:lang w:val="en-GB"/>
              </w:rPr>
            </w:pPr>
            <w:r w:rsidRPr="006314C9">
              <w:rPr>
                <w:rFonts w:cs="Times New Roman"/>
                <w:b/>
                <w:sz w:val="20"/>
                <w:szCs w:val="20"/>
                <w:lang w:val="en-GB"/>
              </w:rPr>
              <w:t>Analysis of the characteristics of the RBD</w:t>
            </w:r>
          </w:p>
        </w:tc>
        <w:tc>
          <w:tcPr>
            <w:tcW w:w="1701" w:type="dxa"/>
          </w:tcPr>
          <w:p w:rsidR="00590337" w:rsidRPr="006314C9" w:rsidRDefault="002F0A16">
            <w:pPr>
              <w:jc w:val="center"/>
              <w:rPr>
                <w:rFonts w:cs="Times New Roman"/>
                <w:b/>
                <w:sz w:val="20"/>
                <w:szCs w:val="20"/>
                <w:lang w:val="en-GB"/>
              </w:rPr>
            </w:pPr>
            <w:r w:rsidRPr="006314C9">
              <w:rPr>
                <w:rFonts w:cs="Times New Roman"/>
                <w:b/>
                <w:sz w:val="20"/>
                <w:szCs w:val="20"/>
                <w:lang w:val="en-GB"/>
              </w:rPr>
              <w:t>Review of the environmental impact of human activity</w:t>
            </w:r>
          </w:p>
        </w:tc>
        <w:tc>
          <w:tcPr>
            <w:tcW w:w="1276" w:type="dxa"/>
          </w:tcPr>
          <w:p w:rsidR="00590337" w:rsidRPr="006314C9" w:rsidRDefault="002F0A16">
            <w:pPr>
              <w:ind w:left="-12" w:firstLine="12"/>
              <w:jc w:val="center"/>
              <w:rPr>
                <w:rFonts w:cs="Times New Roman"/>
                <w:b/>
                <w:sz w:val="20"/>
                <w:szCs w:val="20"/>
                <w:lang w:val="en-GB"/>
              </w:rPr>
            </w:pPr>
            <w:r w:rsidRPr="006314C9">
              <w:rPr>
                <w:rFonts w:cs="Times New Roman"/>
                <w:b/>
                <w:sz w:val="20"/>
                <w:szCs w:val="20"/>
                <w:lang w:val="en-GB"/>
              </w:rPr>
              <w:t>Economic analysis of water use</w:t>
            </w:r>
          </w:p>
        </w:tc>
        <w:tc>
          <w:tcPr>
            <w:tcW w:w="1558" w:type="dxa"/>
          </w:tcPr>
          <w:p w:rsidR="00590337" w:rsidRPr="006314C9" w:rsidRDefault="002F0A16">
            <w:pPr>
              <w:tabs>
                <w:tab w:val="num" w:pos="720"/>
                <w:tab w:val="num" w:pos="1440"/>
              </w:tabs>
              <w:jc w:val="center"/>
              <w:rPr>
                <w:rFonts w:cs="Times New Roman"/>
                <w:b/>
                <w:sz w:val="20"/>
                <w:szCs w:val="20"/>
                <w:lang w:val="en-GB"/>
              </w:rPr>
            </w:pPr>
            <w:r w:rsidRPr="006314C9">
              <w:rPr>
                <w:rFonts w:cs="Times New Roman"/>
                <w:b/>
                <w:sz w:val="20"/>
                <w:szCs w:val="20"/>
                <w:lang w:val="en-GB"/>
              </w:rPr>
              <w:t>Establishing programmes of measures for each RBD</w:t>
            </w:r>
          </w:p>
        </w:tc>
        <w:tc>
          <w:tcPr>
            <w:tcW w:w="1559" w:type="dxa"/>
          </w:tcPr>
          <w:p w:rsidR="00590337" w:rsidRPr="006314C9" w:rsidRDefault="002F0A16">
            <w:pPr>
              <w:tabs>
                <w:tab w:val="num" w:pos="720"/>
                <w:tab w:val="num" w:pos="1440"/>
              </w:tabs>
              <w:jc w:val="center"/>
              <w:rPr>
                <w:rFonts w:cs="Times New Roman"/>
                <w:b/>
                <w:sz w:val="20"/>
                <w:szCs w:val="20"/>
                <w:lang w:val="en-GB"/>
              </w:rPr>
            </w:pPr>
            <w:r w:rsidRPr="006314C9">
              <w:rPr>
                <w:rFonts w:cs="Times New Roman"/>
                <w:b/>
                <w:sz w:val="20"/>
                <w:szCs w:val="20"/>
                <w:lang w:val="en-GB"/>
              </w:rPr>
              <w:t>Status of adoption</w:t>
            </w:r>
          </w:p>
        </w:tc>
      </w:tr>
      <w:tr w:rsidR="007442D1" w:rsidRPr="006314C9" w:rsidTr="007442D1">
        <w:tc>
          <w:tcPr>
            <w:tcW w:w="1558" w:type="dxa"/>
          </w:tcPr>
          <w:p w:rsidR="00087E21" w:rsidRPr="006314C9" w:rsidRDefault="002F0A16" w:rsidP="00B27FEA">
            <w:pPr>
              <w:ind w:hanging="21"/>
              <w:rPr>
                <w:rFonts w:cs="Times New Roman"/>
                <w:sz w:val="20"/>
                <w:szCs w:val="20"/>
                <w:lang w:val="en-GB"/>
              </w:rPr>
            </w:pPr>
            <w:r w:rsidRPr="006314C9">
              <w:rPr>
                <w:rFonts w:cs="Times New Roman"/>
                <w:sz w:val="20"/>
                <w:szCs w:val="20"/>
                <w:lang w:val="en-GB"/>
              </w:rPr>
              <w:t>Drin-Buna River Basin</w:t>
            </w:r>
          </w:p>
          <w:p w:rsidR="00087E21" w:rsidRPr="006314C9" w:rsidRDefault="00087E21" w:rsidP="007B0BC7">
            <w:pPr>
              <w:keepNext/>
              <w:keepLines/>
              <w:outlineLvl w:val="2"/>
              <w:rPr>
                <w:rFonts w:cs="Times New Roman"/>
                <w:sz w:val="20"/>
                <w:szCs w:val="20"/>
                <w:lang w:val="en-GB"/>
              </w:rPr>
            </w:pPr>
          </w:p>
        </w:tc>
        <w:tc>
          <w:tcPr>
            <w:tcW w:w="1698" w:type="dxa"/>
          </w:tcPr>
          <w:p w:rsidR="00087E21" w:rsidRPr="006314C9" w:rsidRDefault="002F0A16" w:rsidP="00F91369">
            <w:pPr>
              <w:jc w:val="left"/>
              <w:rPr>
                <w:rFonts w:cs="Times New Roman"/>
                <w:sz w:val="20"/>
                <w:szCs w:val="20"/>
                <w:lang w:val="en-GB"/>
              </w:rPr>
            </w:pPr>
            <w:r w:rsidRPr="006314C9">
              <w:rPr>
                <w:rFonts w:cs="Times New Roman"/>
                <w:sz w:val="20"/>
                <w:szCs w:val="20"/>
                <w:lang w:val="en-GB"/>
              </w:rPr>
              <w:t xml:space="preserve">General descriptive  information on the characteristics </w:t>
            </w:r>
            <w:r w:rsidRPr="006314C9">
              <w:rPr>
                <w:rFonts w:cs="Times New Roman"/>
                <w:sz w:val="20"/>
                <w:szCs w:val="20"/>
                <w:lang w:val="en-GB"/>
              </w:rPr>
              <w:lastRenderedPageBreak/>
              <w:t xml:space="preserve">of the river basin report </w:t>
            </w:r>
          </w:p>
        </w:tc>
        <w:tc>
          <w:tcPr>
            <w:tcW w:w="1701" w:type="dxa"/>
          </w:tcPr>
          <w:p w:rsidR="00087E21" w:rsidRPr="006314C9" w:rsidRDefault="002F0A16" w:rsidP="00F91369">
            <w:pPr>
              <w:jc w:val="left"/>
              <w:rPr>
                <w:rFonts w:cs="Times New Roman"/>
                <w:sz w:val="20"/>
                <w:szCs w:val="20"/>
                <w:lang w:val="en-GB"/>
              </w:rPr>
            </w:pPr>
            <w:r w:rsidRPr="006314C9">
              <w:rPr>
                <w:rFonts w:cs="Times New Roman"/>
                <w:sz w:val="20"/>
                <w:szCs w:val="20"/>
                <w:lang w:val="en-GB"/>
              </w:rPr>
              <w:lastRenderedPageBreak/>
              <w:t xml:space="preserve">General  information on pressures at the river basin </w:t>
            </w:r>
          </w:p>
        </w:tc>
        <w:tc>
          <w:tcPr>
            <w:tcW w:w="1276" w:type="dxa"/>
          </w:tcPr>
          <w:p w:rsidR="00087E21" w:rsidRPr="006314C9" w:rsidRDefault="002F0A16" w:rsidP="00F91369">
            <w:pPr>
              <w:tabs>
                <w:tab w:val="num" w:pos="1440"/>
              </w:tabs>
              <w:jc w:val="left"/>
              <w:rPr>
                <w:rFonts w:cs="Times New Roman"/>
                <w:sz w:val="20"/>
                <w:szCs w:val="20"/>
                <w:lang w:val="en-GB"/>
              </w:rPr>
            </w:pPr>
            <w:r w:rsidRPr="006314C9">
              <w:rPr>
                <w:rFonts w:cs="Times New Roman"/>
                <w:sz w:val="20"/>
                <w:szCs w:val="20"/>
                <w:lang w:val="en-GB"/>
              </w:rPr>
              <w:t xml:space="preserve">General descriptive information on water use </w:t>
            </w:r>
          </w:p>
        </w:tc>
        <w:tc>
          <w:tcPr>
            <w:tcW w:w="1558" w:type="dxa"/>
          </w:tcPr>
          <w:p w:rsidR="00087E21" w:rsidRPr="006314C9" w:rsidRDefault="002F0A16" w:rsidP="00F91369">
            <w:pPr>
              <w:tabs>
                <w:tab w:val="num" w:pos="720"/>
                <w:tab w:val="num" w:pos="1440"/>
              </w:tabs>
              <w:jc w:val="left"/>
              <w:rPr>
                <w:rFonts w:cs="Times New Roman"/>
                <w:sz w:val="20"/>
                <w:szCs w:val="20"/>
                <w:lang w:val="en-GB"/>
              </w:rPr>
            </w:pPr>
            <w:r w:rsidRPr="006314C9">
              <w:rPr>
                <w:rFonts w:cs="Times New Roman"/>
                <w:sz w:val="20"/>
                <w:szCs w:val="20"/>
                <w:lang w:val="en-GB"/>
              </w:rPr>
              <w:t>Few general measures are identified</w:t>
            </w:r>
          </w:p>
        </w:tc>
        <w:tc>
          <w:tcPr>
            <w:tcW w:w="1559" w:type="dxa"/>
          </w:tcPr>
          <w:p w:rsidR="00087E21" w:rsidRPr="006314C9" w:rsidRDefault="002F0A16" w:rsidP="00F91369">
            <w:pPr>
              <w:tabs>
                <w:tab w:val="num" w:pos="720"/>
                <w:tab w:val="num" w:pos="1440"/>
              </w:tabs>
              <w:jc w:val="left"/>
              <w:rPr>
                <w:rFonts w:cs="Times New Roman"/>
                <w:sz w:val="20"/>
                <w:szCs w:val="20"/>
                <w:lang w:val="en-GB"/>
              </w:rPr>
            </w:pPr>
            <w:r w:rsidRPr="006314C9">
              <w:rPr>
                <w:rFonts w:cs="Times New Roman"/>
                <w:sz w:val="20"/>
                <w:szCs w:val="20"/>
                <w:lang w:val="en-GB"/>
              </w:rPr>
              <w:t>Not adopted</w:t>
            </w:r>
          </w:p>
        </w:tc>
      </w:tr>
      <w:tr w:rsidR="007442D1" w:rsidRPr="006314C9" w:rsidTr="007442D1">
        <w:tc>
          <w:tcPr>
            <w:tcW w:w="1558" w:type="dxa"/>
          </w:tcPr>
          <w:p w:rsidR="00087E21" w:rsidRPr="006314C9" w:rsidRDefault="002F0A16" w:rsidP="00B27FEA">
            <w:pPr>
              <w:ind w:hanging="21"/>
              <w:rPr>
                <w:rFonts w:cs="Times New Roman"/>
                <w:color w:val="000000" w:themeColor="text1"/>
                <w:sz w:val="20"/>
                <w:szCs w:val="20"/>
                <w:lang w:val="en-GB"/>
              </w:rPr>
            </w:pPr>
            <w:r w:rsidRPr="006314C9">
              <w:rPr>
                <w:rFonts w:cs="Times New Roman"/>
                <w:color w:val="000000" w:themeColor="text1"/>
                <w:sz w:val="20"/>
                <w:szCs w:val="20"/>
                <w:lang w:val="en-GB"/>
              </w:rPr>
              <w:lastRenderedPageBreak/>
              <w:t>Mat River Basin*</w:t>
            </w:r>
          </w:p>
          <w:p w:rsidR="00087E21" w:rsidRPr="006314C9" w:rsidRDefault="00087E21" w:rsidP="007B0BC7">
            <w:pPr>
              <w:keepNext/>
              <w:keepLines/>
              <w:ind w:hanging="21"/>
              <w:outlineLvl w:val="2"/>
              <w:rPr>
                <w:rFonts w:cs="Times New Roman"/>
                <w:color w:val="000000" w:themeColor="text1"/>
                <w:sz w:val="20"/>
                <w:szCs w:val="20"/>
                <w:lang w:val="en-GB"/>
              </w:rPr>
            </w:pPr>
          </w:p>
        </w:tc>
        <w:tc>
          <w:tcPr>
            <w:tcW w:w="1698" w:type="dxa"/>
          </w:tcPr>
          <w:p w:rsidR="00087E21" w:rsidRPr="006314C9" w:rsidRDefault="002F0A16" w:rsidP="00F91369">
            <w:pPr>
              <w:jc w:val="left"/>
              <w:rPr>
                <w:rFonts w:cs="Times New Roman"/>
                <w:color w:val="000000" w:themeColor="text1"/>
                <w:sz w:val="20"/>
                <w:szCs w:val="20"/>
                <w:lang w:val="en-GB"/>
              </w:rPr>
            </w:pPr>
            <w:r w:rsidRPr="006314C9">
              <w:rPr>
                <w:rFonts w:cs="Times New Roman"/>
                <w:color w:val="000000" w:themeColor="text1"/>
                <w:sz w:val="20"/>
                <w:szCs w:val="20"/>
                <w:lang w:val="en-GB"/>
              </w:rPr>
              <w:t>General descriptive information on the characteristics of the basin</w:t>
            </w:r>
          </w:p>
        </w:tc>
        <w:tc>
          <w:tcPr>
            <w:tcW w:w="1701" w:type="dxa"/>
          </w:tcPr>
          <w:p w:rsidR="00087E21" w:rsidRPr="006314C9" w:rsidRDefault="002F0A16" w:rsidP="00F91369">
            <w:pPr>
              <w:jc w:val="left"/>
              <w:rPr>
                <w:rFonts w:cs="Times New Roman"/>
                <w:color w:val="000000" w:themeColor="text1"/>
                <w:sz w:val="20"/>
                <w:szCs w:val="20"/>
                <w:lang w:val="en-GB"/>
              </w:rPr>
            </w:pPr>
            <w:r w:rsidRPr="006314C9">
              <w:rPr>
                <w:rFonts w:cs="Times New Roman"/>
                <w:color w:val="000000" w:themeColor="text1"/>
                <w:sz w:val="20"/>
                <w:szCs w:val="20"/>
                <w:lang w:val="en-GB"/>
              </w:rPr>
              <w:t>General descriptive information</w:t>
            </w:r>
          </w:p>
        </w:tc>
        <w:tc>
          <w:tcPr>
            <w:tcW w:w="1276" w:type="dxa"/>
          </w:tcPr>
          <w:p w:rsidR="00087E21" w:rsidRPr="006314C9" w:rsidRDefault="002F0A16" w:rsidP="00F91369">
            <w:pPr>
              <w:tabs>
                <w:tab w:val="num" w:pos="1440"/>
              </w:tabs>
              <w:jc w:val="left"/>
              <w:rPr>
                <w:rFonts w:cs="Times New Roman"/>
                <w:color w:val="000000" w:themeColor="text1"/>
                <w:sz w:val="20"/>
                <w:szCs w:val="20"/>
                <w:lang w:val="en-GB"/>
              </w:rPr>
            </w:pPr>
            <w:r w:rsidRPr="006314C9">
              <w:rPr>
                <w:rFonts w:cs="Times New Roman"/>
                <w:color w:val="000000" w:themeColor="text1"/>
                <w:sz w:val="20"/>
                <w:szCs w:val="20"/>
                <w:lang w:val="en-GB"/>
              </w:rPr>
              <w:t>No analysis of water use</w:t>
            </w:r>
          </w:p>
        </w:tc>
        <w:tc>
          <w:tcPr>
            <w:tcW w:w="1558" w:type="dxa"/>
          </w:tcPr>
          <w:p w:rsidR="00087E21" w:rsidRPr="006314C9" w:rsidRDefault="002F0A16" w:rsidP="00F91369">
            <w:pPr>
              <w:tabs>
                <w:tab w:val="num" w:pos="720"/>
                <w:tab w:val="num" w:pos="1440"/>
              </w:tabs>
              <w:jc w:val="left"/>
              <w:rPr>
                <w:rFonts w:cs="Times New Roman"/>
                <w:color w:val="000000" w:themeColor="text1"/>
                <w:sz w:val="20"/>
                <w:szCs w:val="20"/>
                <w:lang w:val="en-GB"/>
              </w:rPr>
            </w:pPr>
            <w:r w:rsidRPr="006314C9">
              <w:rPr>
                <w:rFonts w:cs="Times New Roman"/>
                <w:color w:val="000000" w:themeColor="text1"/>
                <w:sz w:val="20"/>
                <w:szCs w:val="20"/>
                <w:lang w:val="en-GB"/>
              </w:rPr>
              <w:t>No Programme of Measures</w:t>
            </w:r>
          </w:p>
        </w:tc>
        <w:tc>
          <w:tcPr>
            <w:tcW w:w="1559" w:type="dxa"/>
          </w:tcPr>
          <w:p w:rsidR="00087E21" w:rsidRPr="006314C9" w:rsidRDefault="002F0A16" w:rsidP="00F91369">
            <w:pPr>
              <w:tabs>
                <w:tab w:val="num" w:pos="720"/>
                <w:tab w:val="num" w:pos="1440"/>
              </w:tabs>
              <w:jc w:val="left"/>
              <w:rPr>
                <w:rFonts w:cs="Times New Roman"/>
                <w:color w:val="000000" w:themeColor="text1"/>
                <w:sz w:val="20"/>
                <w:szCs w:val="20"/>
                <w:lang w:val="en-GB"/>
              </w:rPr>
            </w:pPr>
            <w:r w:rsidRPr="006314C9">
              <w:rPr>
                <w:rFonts w:cs="Times New Roman"/>
                <w:color w:val="000000" w:themeColor="text1"/>
                <w:sz w:val="20"/>
                <w:szCs w:val="20"/>
                <w:lang w:val="en-GB"/>
              </w:rPr>
              <w:t xml:space="preserve">Approved by NWC Decision No. 3, date 12.10.2012. Not adopted by the Council of Ministers </w:t>
            </w:r>
          </w:p>
        </w:tc>
      </w:tr>
      <w:tr w:rsidR="007442D1" w:rsidRPr="006314C9" w:rsidTr="007442D1">
        <w:tc>
          <w:tcPr>
            <w:tcW w:w="1558" w:type="dxa"/>
          </w:tcPr>
          <w:p w:rsidR="00087E21" w:rsidRPr="006314C9" w:rsidRDefault="002F0A16" w:rsidP="00B27FEA">
            <w:pPr>
              <w:ind w:hanging="21"/>
              <w:rPr>
                <w:rFonts w:cs="Times New Roman"/>
                <w:color w:val="000000" w:themeColor="text1"/>
                <w:sz w:val="20"/>
                <w:szCs w:val="20"/>
                <w:lang w:val="en-GB"/>
              </w:rPr>
            </w:pPr>
            <w:proofErr w:type="spellStart"/>
            <w:r w:rsidRPr="006314C9">
              <w:rPr>
                <w:rFonts w:cs="Times New Roman"/>
                <w:color w:val="000000" w:themeColor="text1"/>
                <w:sz w:val="20"/>
                <w:szCs w:val="20"/>
                <w:lang w:val="en-GB"/>
              </w:rPr>
              <w:t>Ishem-Erzen</w:t>
            </w:r>
            <w:proofErr w:type="spellEnd"/>
            <w:r w:rsidRPr="006314C9">
              <w:rPr>
                <w:rFonts w:cs="Times New Roman"/>
                <w:color w:val="000000" w:themeColor="text1"/>
                <w:sz w:val="20"/>
                <w:szCs w:val="20"/>
                <w:lang w:val="en-GB"/>
              </w:rPr>
              <w:t xml:space="preserve"> River Basin*</w:t>
            </w:r>
          </w:p>
        </w:tc>
        <w:tc>
          <w:tcPr>
            <w:tcW w:w="1698" w:type="dxa"/>
          </w:tcPr>
          <w:p w:rsidR="00087E21" w:rsidRPr="006314C9" w:rsidRDefault="002F0A16" w:rsidP="00F91369">
            <w:pPr>
              <w:jc w:val="left"/>
              <w:rPr>
                <w:rFonts w:cs="Times New Roman"/>
                <w:color w:val="000000" w:themeColor="text1"/>
                <w:sz w:val="20"/>
                <w:szCs w:val="20"/>
                <w:lang w:val="en-GB"/>
              </w:rPr>
            </w:pPr>
            <w:r w:rsidRPr="006314C9">
              <w:rPr>
                <w:rFonts w:cs="Times New Roman"/>
                <w:color w:val="000000" w:themeColor="text1"/>
                <w:sz w:val="20"/>
                <w:szCs w:val="20"/>
                <w:lang w:val="en-GB"/>
              </w:rPr>
              <w:t>General characteristics of river basin</w:t>
            </w:r>
          </w:p>
        </w:tc>
        <w:tc>
          <w:tcPr>
            <w:tcW w:w="1701" w:type="dxa"/>
          </w:tcPr>
          <w:p w:rsidR="00087E21" w:rsidRPr="006314C9" w:rsidRDefault="002F0A16" w:rsidP="00F91369">
            <w:pPr>
              <w:ind w:left="-12" w:firstLine="12"/>
              <w:jc w:val="left"/>
              <w:rPr>
                <w:rFonts w:cs="Times New Roman"/>
                <w:color w:val="000000" w:themeColor="text1"/>
                <w:sz w:val="20"/>
                <w:szCs w:val="20"/>
                <w:lang w:val="en-GB"/>
              </w:rPr>
            </w:pPr>
            <w:r w:rsidRPr="006314C9">
              <w:rPr>
                <w:rFonts w:cs="Times New Roman"/>
                <w:color w:val="000000" w:themeColor="text1"/>
                <w:sz w:val="20"/>
                <w:szCs w:val="20"/>
                <w:lang w:val="en-GB"/>
              </w:rPr>
              <w:t>Descriptive information on pressures of the river basin</w:t>
            </w:r>
          </w:p>
        </w:tc>
        <w:tc>
          <w:tcPr>
            <w:tcW w:w="1276" w:type="dxa"/>
          </w:tcPr>
          <w:p w:rsidR="00087E21" w:rsidRPr="006314C9" w:rsidRDefault="002F0A16" w:rsidP="00F91369">
            <w:pPr>
              <w:tabs>
                <w:tab w:val="num" w:pos="1440"/>
              </w:tabs>
              <w:jc w:val="left"/>
              <w:rPr>
                <w:rFonts w:cs="Times New Roman"/>
                <w:color w:val="000000" w:themeColor="text1"/>
                <w:sz w:val="20"/>
                <w:szCs w:val="20"/>
                <w:lang w:val="en-GB"/>
              </w:rPr>
            </w:pPr>
            <w:r w:rsidRPr="006314C9">
              <w:rPr>
                <w:rFonts w:cs="Times New Roman"/>
                <w:color w:val="000000" w:themeColor="text1"/>
                <w:sz w:val="20"/>
                <w:szCs w:val="20"/>
                <w:lang w:val="en-GB"/>
              </w:rPr>
              <w:t>No information on analysis of water use</w:t>
            </w:r>
          </w:p>
        </w:tc>
        <w:tc>
          <w:tcPr>
            <w:tcW w:w="1558" w:type="dxa"/>
          </w:tcPr>
          <w:p w:rsidR="00087E21" w:rsidRPr="006314C9" w:rsidRDefault="002F0A16" w:rsidP="00F91369">
            <w:pPr>
              <w:tabs>
                <w:tab w:val="num" w:pos="1440"/>
              </w:tabs>
              <w:jc w:val="left"/>
              <w:rPr>
                <w:rFonts w:cs="Times New Roman"/>
                <w:color w:val="000000" w:themeColor="text1"/>
                <w:sz w:val="20"/>
                <w:szCs w:val="20"/>
                <w:lang w:val="en-GB"/>
              </w:rPr>
            </w:pPr>
            <w:r w:rsidRPr="006314C9">
              <w:rPr>
                <w:rFonts w:cs="Times New Roman"/>
                <w:color w:val="000000" w:themeColor="text1"/>
                <w:sz w:val="20"/>
                <w:szCs w:val="20"/>
                <w:lang w:val="en-GB"/>
              </w:rPr>
              <w:t>No Programme of Measures</w:t>
            </w:r>
          </w:p>
        </w:tc>
        <w:tc>
          <w:tcPr>
            <w:tcW w:w="1559" w:type="dxa"/>
          </w:tcPr>
          <w:p w:rsidR="00087E21" w:rsidRPr="006314C9" w:rsidRDefault="002F0A16" w:rsidP="00F91369">
            <w:pPr>
              <w:tabs>
                <w:tab w:val="num" w:pos="1440"/>
              </w:tabs>
              <w:jc w:val="left"/>
              <w:rPr>
                <w:rFonts w:cs="Times New Roman"/>
                <w:color w:val="000000" w:themeColor="text1"/>
                <w:sz w:val="20"/>
                <w:szCs w:val="20"/>
                <w:lang w:val="en-GB"/>
              </w:rPr>
            </w:pPr>
            <w:r w:rsidRPr="006314C9">
              <w:rPr>
                <w:rFonts w:cs="Times New Roman"/>
                <w:color w:val="000000" w:themeColor="text1"/>
                <w:sz w:val="20"/>
                <w:szCs w:val="20"/>
                <w:lang w:val="en-GB"/>
              </w:rPr>
              <w:t>Not adopted</w:t>
            </w:r>
          </w:p>
        </w:tc>
      </w:tr>
      <w:tr w:rsidR="007442D1" w:rsidRPr="006314C9" w:rsidTr="007442D1">
        <w:tc>
          <w:tcPr>
            <w:tcW w:w="1558" w:type="dxa"/>
          </w:tcPr>
          <w:p w:rsidR="00087E21" w:rsidRPr="006314C9" w:rsidRDefault="002F0A16" w:rsidP="00B27FEA">
            <w:pPr>
              <w:ind w:hanging="21"/>
              <w:rPr>
                <w:rFonts w:cs="Times New Roman"/>
                <w:sz w:val="20"/>
                <w:szCs w:val="20"/>
                <w:lang w:val="en-GB"/>
              </w:rPr>
            </w:pPr>
            <w:proofErr w:type="spellStart"/>
            <w:r w:rsidRPr="006314C9">
              <w:rPr>
                <w:rFonts w:cs="Times New Roman"/>
                <w:sz w:val="20"/>
                <w:szCs w:val="20"/>
                <w:lang w:val="en-GB"/>
              </w:rPr>
              <w:t>Shkumbin</w:t>
            </w:r>
            <w:proofErr w:type="spellEnd"/>
            <w:r w:rsidRPr="006314C9">
              <w:rPr>
                <w:rFonts w:cs="Times New Roman"/>
                <w:sz w:val="20"/>
                <w:szCs w:val="20"/>
                <w:lang w:val="en-GB"/>
              </w:rPr>
              <w:t xml:space="preserve"> River Basin</w:t>
            </w:r>
          </w:p>
        </w:tc>
        <w:tc>
          <w:tcPr>
            <w:tcW w:w="1698" w:type="dxa"/>
          </w:tcPr>
          <w:p w:rsidR="00087E21" w:rsidRPr="006314C9" w:rsidRDefault="002F0A16" w:rsidP="00F91369">
            <w:pPr>
              <w:jc w:val="left"/>
              <w:rPr>
                <w:rFonts w:cs="Times New Roman"/>
                <w:sz w:val="20"/>
                <w:szCs w:val="20"/>
                <w:lang w:val="en-GB"/>
              </w:rPr>
            </w:pPr>
            <w:r w:rsidRPr="006314C9">
              <w:rPr>
                <w:rFonts w:cs="Times New Roman"/>
                <w:sz w:val="20"/>
                <w:szCs w:val="20"/>
                <w:lang w:val="en-GB"/>
              </w:rPr>
              <w:t>Good background information of characteristics of river basin</w:t>
            </w:r>
          </w:p>
        </w:tc>
        <w:tc>
          <w:tcPr>
            <w:tcW w:w="1701" w:type="dxa"/>
          </w:tcPr>
          <w:p w:rsidR="00087E21" w:rsidRPr="006314C9" w:rsidRDefault="002F0A16" w:rsidP="00F91369">
            <w:pPr>
              <w:ind w:left="-12" w:firstLine="12"/>
              <w:jc w:val="left"/>
              <w:rPr>
                <w:rFonts w:cs="Times New Roman"/>
                <w:sz w:val="20"/>
                <w:szCs w:val="20"/>
                <w:lang w:val="en-GB"/>
              </w:rPr>
            </w:pPr>
            <w:r w:rsidRPr="006314C9">
              <w:rPr>
                <w:rFonts w:cs="Times New Roman"/>
                <w:sz w:val="20"/>
                <w:szCs w:val="20"/>
                <w:lang w:val="en-GB"/>
              </w:rPr>
              <w:t>Analysis of the pressures (limited for some sectors)</w:t>
            </w:r>
          </w:p>
        </w:tc>
        <w:tc>
          <w:tcPr>
            <w:tcW w:w="1276" w:type="dxa"/>
          </w:tcPr>
          <w:p w:rsidR="00087E21" w:rsidRPr="006314C9" w:rsidRDefault="002F0A16" w:rsidP="00F91369">
            <w:pPr>
              <w:tabs>
                <w:tab w:val="num" w:pos="1440"/>
              </w:tabs>
              <w:jc w:val="left"/>
              <w:rPr>
                <w:rFonts w:cs="Times New Roman"/>
                <w:sz w:val="20"/>
                <w:szCs w:val="20"/>
                <w:lang w:val="en-GB"/>
              </w:rPr>
            </w:pPr>
            <w:r w:rsidRPr="006314C9">
              <w:rPr>
                <w:rFonts w:cs="Times New Roman"/>
                <w:sz w:val="20"/>
                <w:szCs w:val="20"/>
                <w:lang w:val="en-GB"/>
              </w:rPr>
              <w:t>Analysis of water use (focusing only on water supply and sewerage)</w:t>
            </w:r>
          </w:p>
        </w:tc>
        <w:tc>
          <w:tcPr>
            <w:tcW w:w="1558" w:type="dxa"/>
          </w:tcPr>
          <w:p w:rsidR="00087E21" w:rsidRPr="006314C9" w:rsidRDefault="002F0A16" w:rsidP="00F91369">
            <w:pPr>
              <w:tabs>
                <w:tab w:val="num" w:pos="720"/>
                <w:tab w:val="num" w:pos="1440"/>
              </w:tabs>
              <w:jc w:val="left"/>
              <w:rPr>
                <w:rFonts w:cs="Times New Roman"/>
                <w:sz w:val="20"/>
                <w:szCs w:val="20"/>
                <w:lang w:val="en-GB"/>
              </w:rPr>
            </w:pPr>
            <w:r w:rsidRPr="006314C9">
              <w:rPr>
                <w:rFonts w:cs="Times New Roman"/>
                <w:sz w:val="20"/>
                <w:szCs w:val="20"/>
                <w:lang w:val="en-GB"/>
              </w:rPr>
              <w:t xml:space="preserve">Programme of measures prepared including also climate change adaptation measures.  </w:t>
            </w:r>
          </w:p>
        </w:tc>
        <w:tc>
          <w:tcPr>
            <w:tcW w:w="1559" w:type="dxa"/>
          </w:tcPr>
          <w:p w:rsidR="00087E21" w:rsidRPr="006314C9" w:rsidRDefault="002F0A16" w:rsidP="00F91369">
            <w:pPr>
              <w:tabs>
                <w:tab w:val="num" w:pos="720"/>
                <w:tab w:val="num" w:pos="1440"/>
              </w:tabs>
              <w:jc w:val="left"/>
              <w:rPr>
                <w:rFonts w:cs="Times New Roman"/>
                <w:sz w:val="20"/>
                <w:szCs w:val="20"/>
                <w:lang w:val="en-GB"/>
              </w:rPr>
            </w:pPr>
            <w:r w:rsidRPr="006314C9">
              <w:rPr>
                <w:rFonts w:cs="Times New Roman"/>
                <w:sz w:val="20"/>
                <w:szCs w:val="20"/>
                <w:lang w:val="en-GB"/>
              </w:rPr>
              <w:t>Not adopted</w:t>
            </w:r>
          </w:p>
        </w:tc>
      </w:tr>
      <w:tr w:rsidR="007442D1" w:rsidRPr="006314C9" w:rsidTr="007442D1">
        <w:tc>
          <w:tcPr>
            <w:tcW w:w="1558" w:type="dxa"/>
          </w:tcPr>
          <w:p w:rsidR="00087E21" w:rsidRPr="006314C9" w:rsidRDefault="002F0A16" w:rsidP="00B27FEA">
            <w:pPr>
              <w:ind w:hanging="21"/>
              <w:rPr>
                <w:rFonts w:cs="Times New Roman"/>
                <w:sz w:val="20"/>
                <w:szCs w:val="20"/>
                <w:lang w:val="en-GB"/>
              </w:rPr>
            </w:pPr>
            <w:proofErr w:type="spellStart"/>
            <w:r w:rsidRPr="006314C9">
              <w:rPr>
                <w:rFonts w:cs="Times New Roman"/>
                <w:sz w:val="20"/>
                <w:szCs w:val="20"/>
                <w:lang w:val="en-GB"/>
              </w:rPr>
              <w:t>Seman</w:t>
            </w:r>
            <w:proofErr w:type="spellEnd"/>
            <w:r w:rsidRPr="006314C9">
              <w:rPr>
                <w:rFonts w:cs="Times New Roman"/>
                <w:sz w:val="20"/>
                <w:szCs w:val="20"/>
                <w:lang w:val="en-GB"/>
              </w:rPr>
              <w:t xml:space="preserve"> River Basin</w:t>
            </w:r>
          </w:p>
        </w:tc>
        <w:tc>
          <w:tcPr>
            <w:tcW w:w="1698" w:type="dxa"/>
          </w:tcPr>
          <w:p w:rsidR="00087E21" w:rsidRPr="006314C9" w:rsidRDefault="002F0A16" w:rsidP="00F91369">
            <w:pPr>
              <w:jc w:val="left"/>
              <w:rPr>
                <w:rFonts w:cs="Times New Roman"/>
                <w:sz w:val="20"/>
                <w:szCs w:val="20"/>
                <w:lang w:val="en-GB"/>
              </w:rPr>
            </w:pPr>
            <w:r w:rsidRPr="006314C9">
              <w:rPr>
                <w:rFonts w:cs="Times New Roman"/>
                <w:sz w:val="20"/>
                <w:szCs w:val="20"/>
                <w:lang w:val="en-GB"/>
              </w:rPr>
              <w:t>General information on the characteristics of the basin</w:t>
            </w:r>
          </w:p>
        </w:tc>
        <w:tc>
          <w:tcPr>
            <w:tcW w:w="1701" w:type="dxa"/>
          </w:tcPr>
          <w:p w:rsidR="00087E21" w:rsidRPr="006314C9" w:rsidRDefault="002F0A16" w:rsidP="00F91369">
            <w:pPr>
              <w:ind w:left="-12" w:firstLine="12"/>
              <w:jc w:val="left"/>
              <w:rPr>
                <w:rFonts w:cs="Times New Roman"/>
                <w:sz w:val="20"/>
                <w:szCs w:val="20"/>
                <w:lang w:val="en-GB"/>
              </w:rPr>
            </w:pPr>
            <w:r w:rsidRPr="006314C9">
              <w:rPr>
                <w:rFonts w:cs="Times New Roman"/>
                <w:sz w:val="20"/>
                <w:szCs w:val="20"/>
                <w:lang w:val="en-GB"/>
              </w:rPr>
              <w:t>General information on the pressures in the river basin</w:t>
            </w:r>
          </w:p>
        </w:tc>
        <w:tc>
          <w:tcPr>
            <w:tcW w:w="1276" w:type="dxa"/>
          </w:tcPr>
          <w:p w:rsidR="00087E21" w:rsidRPr="006314C9" w:rsidRDefault="002F0A16" w:rsidP="00F91369">
            <w:pPr>
              <w:tabs>
                <w:tab w:val="num" w:pos="1440"/>
              </w:tabs>
              <w:jc w:val="left"/>
              <w:rPr>
                <w:rFonts w:cs="Times New Roman"/>
                <w:sz w:val="20"/>
                <w:szCs w:val="20"/>
                <w:lang w:val="en-GB"/>
              </w:rPr>
            </w:pPr>
            <w:r w:rsidRPr="006314C9">
              <w:rPr>
                <w:rFonts w:cs="Times New Roman"/>
                <w:sz w:val="20"/>
                <w:szCs w:val="20"/>
                <w:lang w:val="en-GB"/>
              </w:rPr>
              <w:t>General information on water use – no analysis</w:t>
            </w:r>
          </w:p>
        </w:tc>
        <w:tc>
          <w:tcPr>
            <w:tcW w:w="1558" w:type="dxa"/>
          </w:tcPr>
          <w:p w:rsidR="00087E21" w:rsidRPr="006314C9" w:rsidRDefault="002F0A16" w:rsidP="00F91369">
            <w:pPr>
              <w:tabs>
                <w:tab w:val="num" w:pos="720"/>
                <w:tab w:val="num" w:pos="1440"/>
              </w:tabs>
              <w:jc w:val="left"/>
              <w:rPr>
                <w:rFonts w:cs="Times New Roman"/>
                <w:sz w:val="20"/>
                <w:szCs w:val="20"/>
                <w:lang w:val="en-GB"/>
              </w:rPr>
            </w:pPr>
            <w:r w:rsidRPr="006314C9">
              <w:rPr>
                <w:rFonts w:cs="Times New Roman"/>
                <w:sz w:val="20"/>
                <w:szCs w:val="20"/>
                <w:lang w:val="en-GB"/>
              </w:rPr>
              <w:t>Few general measures are identified</w:t>
            </w:r>
          </w:p>
        </w:tc>
        <w:tc>
          <w:tcPr>
            <w:tcW w:w="1559" w:type="dxa"/>
          </w:tcPr>
          <w:p w:rsidR="00087E21" w:rsidRPr="006314C9" w:rsidRDefault="002F0A16" w:rsidP="00F91369">
            <w:pPr>
              <w:tabs>
                <w:tab w:val="num" w:pos="720"/>
                <w:tab w:val="num" w:pos="1440"/>
              </w:tabs>
              <w:jc w:val="left"/>
              <w:rPr>
                <w:rFonts w:cs="Times New Roman"/>
                <w:sz w:val="20"/>
                <w:szCs w:val="20"/>
                <w:lang w:val="en-GB"/>
              </w:rPr>
            </w:pPr>
            <w:r w:rsidRPr="006314C9">
              <w:rPr>
                <w:rFonts w:cs="Times New Roman"/>
                <w:sz w:val="20"/>
                <w:szCs w:val="20"/>
                <w:lang w:val="en-GB"/>
              </w:rPr>
              <w:t>Not adopted</w:t>
            </w:r>
          </w:p>
        </w:tc>
      </w:tr>
      <w:tr w:rsidR="007442D1" w:rsidRPr="006314C9" w:rsidTr="007442D1">
        <w:tc>
          <w:tcPr>
            <w:tcW w:w="1558" w:type="dxa"/>
          </w:tcPr>
          <w:p w:rsidR="00087E21" w:rsidRPr="006314C9" w:rsidRDefault="002F0A16" w:rsidP="00B27FEA">
            <w:pPr>
              <w:ind w:hanging="21"/>
              <w:rPr>
                <w:rFonts w:cs="Times New Roman"/>
                <w:color w:val="000000" w:themeColor="text1"/>
                <w:sz w:val="20"/>
                <w:szCs w:val="20"/>
                <w:lang w:val="en-GB"/>
              </w:rPr>
            </w:pPr>
            <w:proofErr w:type="spellStart"/>
            <w:r w:rsidRPr="006314C9">
              <w:rPr>
                <w:rFonts w:cs="Times New Roman"/>
                <w:color w:val="000000" w:themeColor="text1"/>
                <w:sz w:val="20"/>
                <w:szCs w:val="20"/>
                <w:lang w:val="en-GB"/>
              </w:rPr>
              <w:t>Vjosa</w:t>
            </w:r>
            <w:proofErr w:type="spellEnd"/>
            <w:r w:rsidRPr="006314C9">
              <w:rPr>
                <w:rFonts w:cs="Times New Roman"/>
                <w:color w:val="000000" w:themeColor="text1"/>
                <w:sz w:val="20"/>
                <w:szCs w:val="20"/>
                <w:lang w:val="en-GB"/>
              </w:rPr>
              <w:t xml:space="preserve"> River Basin</w:t>
            </w:r>
          </w:p>
          <w:p w:rsidR="00087E21" w:rsidRPr="006314C9" w:rsidRDefault="00087E21" w:rsidP="007B0BC7">
            <w:pPr>
              <w:keepNext/>
              <w:keepLines/>
              <w:outlineLvl w:val="2"/>
              <w:rPr>
                <w:rFonts w:cs="Times New Roman"/>
                <w:sz w:val="20"/>
                <w:szCs w:val="20"/>
                <w:lang w:val="en-GB"/>
              </w:rPr>
            </w:pPr>
          </w:p>
        </w:tc>
        <w:tc>
          <w:tcPr>
            <w:tcW w:w="1698" w:type="dxa"/>
          </w:tcPr>
          <w:p w:rsidR="00087E21" w:rsidRPr="006314C9" w:rsidRDefault="002F0A16" w:rsidP="00F91369">
            <w:pPr>
              <w:jc w:val="left"/>
              <w:rPr>
                <w:rFonts w:cs="Times New Roman"/>
                <w:sz w:val="20"/>
                <w:szCs w:val="20"/>
                <w:lang w:val="en-GB"/>
              </w:rPr>
            </w:pPr>
            <w:r w:rsidRPr="006314C9">
              <w:rPr>
                <w:rFonts w:cs="Times New Roman"/>
                <w:sz w:val="20"/>
                <w:szCs w:val="20"/>
                <w:lang w:val="en-GB"/>
              </w:rPr>
              <w:t>Very general information on the characteristics of the river basin.</w:t>
            </w:r>
          </w:p>
        </w:tc>
        <w:tc>
          <w:tcPr>
            <w:tcW w:w="1701" w:type="dxa"/>
          </w:tcPr>
          <w:p w:rsidR="00087E21" w:rsidRPr="006314C9" w:rsidRDefault="002F0A16" w:rsidP="00F91369">
            <w:pPr>
              <w:jc w:val="left"/>
              <w:rPr>
                <w:rFonts w:cs="Times New Roman"/>
                <w:sz w:val="20"/>
                <w:szCs w:val="20"/>
                <w:lang w:val="en-GB"/>
              </w:rPr>
            </w:pPr>
            <w:r w:rsidRPr="006314C9">
              <w:rPr>
                <w:rFonts w:cs="Times New Roman"/>
                <w:sz w:val="20"/>
                <w:szCs w:val="20"/>
                <w:lang w:val="en-GB"/>
              </w:rPr>
              <w:t>Very general information on the pressures in the river basin.</w:t>
            </w:r>
          </w:p>
        </w:tc>
        <w:tc>
          <w:tcPr>
            <w:tcW w:w="1276" w:type="dxa"/>
          </w:tcPr>
          <w:p w:rsidR="00087E21" w:rsidRPr="006314C9" w:rsidRDefault="002F0A16" w:rsidP="00F91369">
            <w:pPr>
              <w:jc w:val="left"/>
              <w:rPr>
                <w:rFonts w:cs="Times New Roman"/>
                <w:sz w:val="20"/>
                <w:szCs w:val="20"/>
                <w:lang w:val="en-GB"/>
              </w:rPr>
            </w:pPr>
            <w:r w:rsidRPr="006314C9">
              <w:rPr>
                <w:rFonts w:cs="Times New Roman"/>
                <w:sz w:val="20"/>
                <w:szCs w:val="20"/>
                <w:lang w:val="en-GB"/>
              </w:rPr>
              <w:t>No information on analysis of water use (no work conducted).</w:t>
            </w:r>
          </w:p>
        </w:tc>
        <w:tc>
          <w:tcPr>
            <w:tcW w:w="1558" w:type="dxa"/>
          </w:tcPr>
          <w:p w:rsidR="00087E21" w:rsidRPr="006314C9" w:rsidRDefault="002F0A16" w:rsidP="00F91369">
            <w:pPr>
              <w:tabs>
                <w:tab w:val="num" w:pos="720"/>
                <w:tab w:val="num" w:pos="1440"/>
              </w:tabs>
              <w:jc w:val="left"/>
              <w:rPr>
                <w:rFonts w:cs="Times New Roman"/>
                <w:sz w:val="20"/>
                <w:szCs w:val="20"/>
                <w:lang w:val="en-GB"/>
              </w:rPr>
            </w:pPr>
            <w:r w:rsidRPr="006314C9">
              <w:rPr>
                <w:rFonts w:cs="Times New Roman"/>
                <w:sz w:val="20"/>
                <w:szCs w:val="20"/>
                <w:lang w:val="en-GB"/>
              </w:rPr>
              <w:t xml:space="preserve">No Programme of Measures </w:t>
            </w:r>
          </w:p>
        </w:tc>
        <w:tc>
          <w:tcPr>
            <w:tcW w:w="1559" w:type="dxa"/>
          </w:tcPr>
          <w:p w:rsidR="00087E21" w:rsidRPr="006314C9" w:rsidRDefault="002F0A16" w:rsidP="00F91369">
            <w:pPr>
              <w:tabs>
                <w:tab w:val="num" w:pos="720"/>
                <w:tab w:val="num" w:pos="1440"/>
              </w:tabs>
              <w:jc w:val="left"/>
              <w:rPr>
                <w:rFonts w:cs="Times New Roman"/>
                <w:sz w:val="20"/>
                <w:szCs w:val="20"/>
                <w:lang w:val="en-GB"/>
              </w:rPr>
            </w:pPr>
            <w:r w:rsidRPr="006314C9">
              <w:rPr>
                <w:rFonts w:cs="Times New Roman"/>
                <w:sz w:val="20"/>
                <w:szCs w:val="20"/>
                <w:lang w:val="en-GB"/>
              </w:rPr>
              <w:t>Not adopted</w:t>
            </w:r>
          </w:p>
        </w:tc>
      </w:tr>
    </w:tbl>
    <w:p w:rsidR="00087E21" w:rsidRPr="006314C9" w:rsidRDefault="00954EAF" w:rsidP="00B27FEA">
      <w:pPr>
        <w:pStyle w:val="ListParagraph"/>
        <w:rPr>
          <w:rFonts w:cs="Times New Roman"/>
          <w:lang w:val="en-GB"/>
        </w:rPr>
      </w:pPr>
      <w:r w:rsidRPr="006314C9">
        <w:rPr>
          <w:rFonts w:cs="Times New Roman"/>
          <w:lang w:val="en-GB"/>
        </w:rPr>
        <w:t>*</w:t>
      </w:r>
      <w:r w:rsidR="00087E21" w:rsidRPr="006314C9">
        <w:rPr>
          <w:rFonts w:cs="Times New Roman"/>
          <w:lang w:val="en-GB"/>
        </w:rPr>
        <w:t xml:space="preserve">Activities </w:t>
      </w:r>
      <w:r w:rsidRPr="006314C9">
        <w:rPr>
          <w:rFonts w:cs="Times New Roman"/>
          <w:lang w:val="en-GB"/>
        </w:rPr>
        <w:t>for RBMP preparation i</w:t>
      </w:r>
      <w:r w:rsidR="00087E21" w:rsidRPr="006314C9">
        <w:rPr>
          <w:rFonts w:cs="Times New Roman"/>
          <w:lang w:val="en-GB"/>
        </w:rPr>
        <w:t xml:space="preserve">ncluded in the ongoing </w:t>
      </w:r>
      <w:r w:rsidR="00B95D6A" w:rsidRPr="006314C9">
        <w:rPr>
          <w:rFonts w:cs="Times New Roman"/>
          <w:lang w:val="en-GB"/>
        </w:rPr>
        <w:t xml:space="preserve">EUSIWM </w:t>
      </w:r>
      <w:r w:rsidR="00087E21" w:rsidRPr="006314C9">
        <w:rPr>
          <w:rFonts w:cs="Times New Roman"/>
          <w:lang w:val="en-GB"/>
        </w:rPr>
        <w:t>project</w:t>
      </w:r>
      <w:r w:rsidR="00B95D6A" w:rsidRPr="006314C9">
        <w:rPr>
          <w:rFonts w:cs="Times New Roman"/>
          <w:lang w:val="en-GB"/>
        </w:rPr>
        <w:t>.</w:t>
      </w:r>
    </w:p>
    <w:p w:rsidR="00087E21" w:rsidRPr="006314C9" w:rsidRDefault="00B95D6A" w:rsidP="00152F5E">
      <w:pPr>
        <w:pStyle w:val="ListParagraph"/>
        <w:rPr>
          <w:lang w:val="en-GB"/>
        </w:rPr>
      </w:pPr>
      <w:r w:rsidRPr="006314C9">
        <w:rPr>
          <w:rFonts w:cs="Times New Roman"/>
          <w:lang w:val="en-GB"/>
        </w:rPr>
        <w:t>** To be decided if RMPB will be prepared within ongoing EUSIWM</w:t>
      </w:r>
      <w:r w:rsidR="00954EAF" w:rsidRPr="006314C9">
        <w:rPr>
          <w:rFonts w:cs="Times New Roman"/>
          <w:lang w:val="en-GB"/>
        </w:rPr>
        <w:t xml:space="preserve"> project.</w:t>
      </w:r>
    </w:p>
    <w:p w:rsidR="00BE162B" w:rsidRPr="006314C9" w:rsidRDefault="00BE162B" w:rsidP="00152F5E">
      <w:pPr>
        <w:rPr>
          <w:rFonts w:cs="Times New Roman"/>
          <w:i/>
          <w:lang w:val="en-GB"/>
        </w:rPr>
      </w:pPr>
      <w:r w:rsidRPr="006314C9">
        <w:rPr>
          <w:rFonts w:cs="Times New Roman"/>
          <w:i/>
          <w:lang w:val="en-GB"/>
        </w:rPr>
        <w:t xml:space="preserve">Water monitoring </w:t>
      </w:r>
    </w:p>
    <w:p w:rsidR="00BE162B" w:rsidRPr="006314C9" w:rsidRDefault="00BE162B" w:rsidP="000A076B">
      <w:pPr>
        <w:rPr>
          <w:lang w:val="en-GB"/>
        </w:rPr>
      </w:pPr>
      <w:r w:rsidRPr="006314C9">
        <w:rPr>
          <w:lang w:val="en-GB"/>
        </w:rPr>
        <w:t>The current monitoring data on the quality (including the WFD’s "ecological status") and quantity (including the WFD’s "</w:t>
      </w:r>
      <w:proofErr w:type="spellStart"/>
      <w:r w:rsidRPr="006314C9">
        <w:rPr>
          <w:lang w:val="en-GB"/>
        </w:rPr>
        <w:t>hydromorphological</w:t>
      </w:r>
      <w:proofErr w:type="spellEnd"/>
      <w:r w:rsidRPr="006314C9">
        <w:rPr>
          <w:lang w:val="en-GB"/>
        </w:rPr>
        <w:t xml:space="preserve"> status") of water resources is insufficient. Monitoring and assessment of the state of water resources is required but NEA, the Albanian Geological Service, Institute of Public Health do not have laboratories equipped with all the analytical instruments, methods and consumables required for analysis of water samples for the assessment of the chemical status of surface water and groundwater bodies. Their respective staff capacity and expertise for monitoring and assessment are not </w:t>
      </w:r>
      <w:r w:rsidR="00E50080" w:rsidRPr="006314C9">
        <w:rPr>
          <w:lang w:val="en-GB"/>
        </w:rPr>
        <w:t xml:space="preserve">sufficient to follow all </w:t>
      </w:r>
      <w:r w:rsidRPr="006314C9">
        <w:rPr>
          <w:lang w:val="en-GB"/>
        </w:rPr>
        <w:t xml:space="preserve">WFD requirements. </w:t>
      </w:r>
      <w:r w:rsidR="009C7BD8" w:rsidRPr="006314C9">
        <w:rPr>
          <w:lang w:val="en-GB"/>
        </w:rPr>
        <w:t>In addition, available funds for water monitoring are not enough to conduct monitoring as possible with the current capacities. Consequently, increase of the national budget for water monitoring is cru</w:t>
      </w:r>
      <w:r w:rsidR="001970BB" w:rsidRPr="006314C9">
        <w:rPr>
          <w:lang w:val="en-GB"/>
        </w:rPr>
        <w:t>c</w:t>
      </w:r>
      <w:r w:rsidR="009C7BD8" w:rsidRPr="006314C9">
        <w:rPr>
          <w:lang w:val="en-GB"/>
        </w:rPr>
        <w:t xml:space="preserve">ial </w:t>
      </w:r>
      <w:r w:rsidR="001970BB" w:rsidRPr="006314C9">
        <w:rPr>
          <w:lang w:val="en-GB"/>
        </w:rPr>
        <w:t xml:space="preserve">for any progress in this regard. </w:t>
      </w:r>
    </w:p>
    <w:p w:rsidR="00590337" w:rsidRPr="006314C9" w:rsidRDefault="00BE162B">
      <w:pPr>
        <w:rPr>
          <w:lang w:val="en-GB"/>
        </w:rPr>
      </w:pPr>
      <w:r w:rsidRPr="006314C9">
        <w:rPr>
          <w:lang w:val="en-GB"/>
        </w:rPr>
        <w:t>The monitoring programme for the drinking water supply has improved</w:t>
      </w:r>
      <w:r w:rsidR="00713E18" w:rsidRPr="006314C9">
        <w:rPr>
          <w:lang w:val="en-GB"/>
        </w:rPr>
        <w:t>, but is still far from meeting all requirements</w:t>
      </w:r>
      <w:r w:rsidRPr="006314C9">
        <w:rPr>
          <w:lang w:val="en-GB"/>
        </w:rPr>
        <w:t xml:space="preserve">. </w:t>
      </w:r>
      <w:r w:rsidR="00713E18" w:rsidRPr="006314C9">
        <w:rPr>
          <w:lang w:val="en-GB"/>
        </w:rPr>
        <w:t>A</w:t>
      </w:r>
      <w:r w:rsidRPr="006314C9">
        <w:rPr>
          <w:lang w:val="en-GB"/>
        </w:rPr>
        <w:t xml:space="preserve"> remaining major gap is the lack of monitoring of drinking water quality from private/local wells in rural areas. The safety of water supply is monitored by the State Sanitary Inspectorate under the Ministry of Health and Social Welfare which tests residual chlorine and </w:t>
      </w:r>
      <w:proofErr w:type="spellStart"/>
      <w:r w:rsidRPr="006314C9">
        <w:rPr>
          <w:lang w:val="en-GB"/>
        </w:rPr>
        <w:lastRenderedPageBreak/>
        <w:t>fecalcoliform</w:t>
      </w:r>
      <w:proofErr w:type="spellEnd"/>
      <w:r w:rsidRPr="006314C9">
        <w:rPr>
          <w:lang w:val="en-GB"/>
        </w:rPr>
        <w:t xml:space="preserve"> bacteria. In 2018, the average compliance rate for chlorine was 96% with values ranging from 22% to 100%, and 99% for </w:t>
      </w:r>
      <w:proofErr w:type="spellStart"/>
      <w:r w:rsidRPr="006314C9">
        <w:rPr>
          <w:lang w:val="en-GB"/>
        </w:rPr>
        <w:t>fecal</w:t>
      </w:r>
      <w:proofErr w:type="spellEnd"/>
      <w:r w:rsidRPr="006314C9">
        <w:rPr>
          <w:lang w:val="en-GB"/>
        </w:rPr>
        <w:t xml:space="preserve"> bacteria with values from 44% to 100%. Although the overall compliance rates are quite unchanged since 2007, some services are still experiencing issues to deliver proper drinking water to their customers.</w:t>
      </w:r>
    </w:p>
    <w:p w:rsidR="00BE162B" w:rsidRPr="006314C9" w:rsidRDefault="00BE162B" w:rsidP="000A076B">
      <w:pPr>
        <w:rPr>
          <w:lang w:val="en-GB"/>
        </w:rPr>
      </w:pPr>
      <w:r w:rsidRPr="006314C9">
        <w:rPr>
          <w:lang w:val="en-GB"/>
        </w:rPr>
        <w:t>The programme for monitoring the quality of bathing waters along the coast is adequate</w:t>
      </w:r>
      <w:r w:rsidR="00713E18" w:rsidRPr="006314C9">
        <w:rPr>
          <w:lang w:val="en-GB"/>
        </w:rPr>
        <w:t xml:space="preserve"> for the current identified bathing waters, however still not fully in compliance with the directive’s requirements and is not performed to all waters that are used for bathing</w:t>
      </w:r>
      <w:r w:rsidRPr="006314C9">
        <w:rPr>
          <w:lang w:val="en-GB"/>
        </w:rPr>
        <w:t xml:space="preserve">. </w:t>
      </w:r>
      <w:r w:rsidR="00713E18" w:rsidRPr="006314C9">
        <w:rPr>
          <w:lang w:val="en-GB"/>
        </w:rPr>
        <w:t>B</w:t>
      </w:r>
      <w:r w:rsidRPr="006314C9">
        <w:rPr>
          <w:lang w:val="en-GB"/>
        </w:rPr>
        <w:t xml:space="preserve">athing waters along the lakes (e.g. in Lake </w:t>
      </w:r>
      <w:proofErr w:type="spellStart"/>
      <w:r w:rsidRPr="006314C9">
        <w:rPr>
          <w:lang w:val="en-GB"/>
        </w:rPr>
        <w:t>Ohrid</w:t>
      </w:r>
      <w:proofErr w:type="spellEnd"/>
      <w:r w:rsidRPr="006314C9">
        <w:rPr>
          <w:lang w:val="en-GB"/>
        </w:rPr>
        <w:t xml:space="preserve"> at </w:t>
      </w:r>
      <w:proofErr w:type="spellStart"/>
      <w:r w:rsidRPr="006314C9">
        <w:rPr>
          <w:lang w:val="en-GB"/>
        </w:rPr>
        <w:t>Pogradec</w:t>
      </w:r>
      <w:proofErr w:type="spellEnd"/>
      <w:r w:rsidRPr="006314C9">
        <w:rPr>
          <w:lang w:val="en-GB"/>
        </w:rPr>
        <w:t>) are not subjected to quality monitoring.</w:t>
      </w:r>
      <w:r w:rsidR="009C7BD8" w:rsidRPr="006314C9">
        <w:rPr>
          <w:lang w:val="en-GB"/>
        </w:rPr>
        <w:t xml:space="preserve"> Not all bathing waters have been identified and designated by authorities. </w:t>
      </w:r>
    </w:p>
    <w:p w:rsidR="00BE162B" w:rsidRPr="006314C9" w:rsidRDefault="00BE162B" w:rsidP="000A076B">
      <w:pPr>
        <w:rPr>
          <w:lang w:val="en-GB"/>
        </w:rPr>
      </w:pPr>
      <w:r w:rsidRPr="006314C9">
        <w:rPr>
          <w:lang w:val="en-GB"/>
        </w:rPr>
        <w:t xml:space="preserve">Groundwater quality and quantity: The currently monitored </w:t>
      </w:r>
      <w:proofErr w:type="spellStart"/>
      <w:r w:rsidRPr="006314C9">
        <w:rPr>
          <w:lang w:val="en-GB"/>
        </w:rPr>
        <w:t>physico</w:t>
      </w:r>
      <w:proofErr w:type="spellEnd"/>
      <w:r w:rsidRPr="006314C9">
        <w:rPr>
          <w:lang w:val="en-GB"/>
        </w:rPr>
        <w:t>-chemical quality elements are adequate</w:t>
      </w:r>
      <w:r w:rsidR="00713E18" w:rsidRPr="006314C9">
        <w:rPr>
          <w:lang w:val="en-GB"/>
        </w:rPr>
        <w:t xml:space="preserve"> to some of the ground waters</w:t>
      </w:r>
      <w:r w:rsidRPr="006314C9">
        <w:rPr>
          <w:lang w:val="en-GB"/>
        </w:rPr>
        <w:t xml:space="preserve">. However, heavy metals are not routinely analyzed, due to a lack of financial resources. Organic </w:t>
      </w:r>
      <w:proofErr w:type="spellStart"/>
      <w:r w:rsidRPr="006314C9">
        <w:rPr>
          <w:lang w:val="en-GB"/>
        </w:rPr>
        <w:t>micropollutants</w:t>
      </w:r>
      <w:proofErr w:type="spellEnd"/>
      <w:r w:rsidRPr="006314C9">
        <w:rPr>
          <w:lang w:val="en-GB"/>
        </w:rPr>
        <w:t xml:space="preserve">, such as pesticides and </w:t>
      </w:r>
      <w:proofErr w:type="spellStart"/>
      <w:r w:rsidRPr="006314C9">
        <w:rPr>
          <w:lang w:val="en-GB"/>
        </w:rPr>
        <w:t>polyaromatic</w:t>
      </w:r>
      <w:proofErr w:type="spellEnd"/>
      <w:r w:rsidRPr="006314C9">
        <w:rPr>
          <w:lang w:val="en-GB"/>
        </w:rPr>
        <w:t xml:space="preserve"> hydrocarbons, are not yet analyzed, due to the lack of required equipment in the laboratory of the Albanian Geological Service. Groundwater levels are measured only while visiting the sites for sampling, thus two to four times per year. This is too low frequency for assessing the dynamics of groundwater levels. </w:t>
      </w:r>
    </w:p>
    <w:p w:rsidR="00BE162B" w:rsidRPr="006314C9" w:rsidRDefault="00BE162B" w:rsidP="000A076B">
      <w:pPr>
        <w:rPr>
          <w:lang w:val="en-GB"/>
        </w:rPr>
      </w:pPr>
      <w:r w:rsidRPr="006314C9">
        <w:rPr>
          <w:lang w:val="en-GB"/>
        </w:rPr>
        <w:t>Groundwater levels are preferably monitored with data loggers, which can often also measure, for example, water temperature and electric conductivity, but this is currently no</w:t>
      </w:r>
      <w:r w:rsidR="00713E18" w:rsidRPr="006314C9">
        <w:rPr>
          <w:lang w:val="en-GB"/>
        </w:rPr>
        <w:t xml:space="preserve">t a </w:t>
      </w:r>
      <w:r w:rsidRPr="006314C9">
        <w:rPr>
          <w:lang w:val="en-GB"/>
        </w:rPr>
        <w:t xml:space="preserve">practice in Albania for ambient groundwater monitoring. The current groundwater monitoring network may not be representative for groundwater bodies delineated and characterized in line with the WFD. </w:t>
      </w:r>
      <w:r w:rsidR="009C7BD8" w:rsidRPr="006314C9">
        <w:rPr>
          <w:lang w:val="en-GB"/>
        </w:rPr>
        <w:t>M</w:t>
      </w:r>
      <w:r w:rsidRPr="006314C9">
        <w:rPr>
          <w:lang w:val="en-GB"/>
        </w:rPr>
        <w:t>ore monitoring sites are to be anticipated</w:t>
      </w:r>
      <w:r w:rsidR="009C7BD8" w:rsidRPr="006314C9">
        <w:rPr>
          <w:lang w:val="en-GB"/>
        </w:rPr>
        <w:t xml:space="preserve"> thus gap assessment of the current sites against the EU requirement is needed</w:t>
      </w:r>
      <w:r w:rsidRPr="006314C9">
        <w:rPr>
          <w:lang w:val="en-GB"/>
        </w:rPr>
        <w:t>.</w:t>
      </w:r>
    </w:p>
    <w:p w:rsidR="00BE162B" w:rsidRPr="006314C9" w:rsidRDefault="00BE162B" w:rsidP="000A076B">
      <w:pPr>
        <w:rPr>
          <w:lang w:val="en-GB"/>
        </w:rPr>
      </w:pPr>
      <w:r w:rsidRPr="006314C9">
        <w:rPr>
          <w:lang w:val="en-GB"/>
        </w:rPr>
        <w:t>The major gap in the monitoring of lakes is the lack of measurements of biological parameters. Only the three major lakes (</w:t>
      </w:r>
      <w:proofErr w:type="spellStart"/>
      <w:r w:rsidRPr="006314C9">
        <w:rPr>
          <w:lang w:val="en-GB"/>
        </w:rPr>
        <w:t>Ohrid</w:t>
      </w:r>
      <w:proofErr w:type="spellEnd"/>
      <w:r w:rsidRPr="006314C9">
        <w:rPr>
          <w:lang w:val="en-GB"/>
        </w:rPr>
        <w:t xml:space="preserve">, </w:t>
      </w:r>
      <w:proofErr w:type="spellStart"/>
      <w:r w:rsidRPr="006314C9">
        <w:rPr>
          <w:lang w:val="en-GB"/>
        </w:rPr>
        <w:t>Prespa</w:t>
      </w:r>
      <w:proofErr w:type="spellEnd"/>
      <w:r w:rsidRPr="006314C9">
        <w:rPr>
          <w:lang w:val="en-GB"/>
        </w:rPr>
        <w:t xml:space="preserve"> and </w:t>
      </w:r>
      <w:proofErr w:type="spellStart"/>
      <w:r w:rsidRPr="006314C9">
        <w:rPr>
          <w:lang w:val="en-GB"/>
        </w:rPr>
        <w:t>Shkodër</w:t>
      </w:r>
      <w:proofErr w:type="spellEnd"/>
      <w:r w:rsidRPr="006314C9">
        <w:rPr>
          <w:lang w:val="en-GB"/>
        </w:rPr>
        <w:t>) are currently subject to routine water quality monitoring. The ambient water quality of reservoirs or artificial water bodies is not yet routinely monitored.</w:t>
      </w:r>
    </w:p>
    <w:p w:rsidR="00713E18" w:rsidRPr="006314C9" w:rsidRDefault="009C7BD8" w:rsidP="000A076B">
      <w:pPr>
        <w:rPr>
          <w:i/>
          <w:lang w:val="en-GB"/>
        </w:rPr>
      </w:pPr>
      <w:r w:rsidRPr="006314C9">
        <w:rPr>
          <w:lang w:val="en-GB"/>
        </w:rPr>
        <w:t xml:space="preserve">As a conclusion there is a need to establish comprehensive water management plan which will provide clear direction of how the water monitoring will develop in Albania. Such activity can start with preparation of an assessment of the current water monitoring including the human and technical capacity (monitoring station, monitoring equipment and laboratories) and the financial resources needed for its implementation. Understanding the situation and identified gaps can provide conditions for good long term planning of the water monitoring in Albania. </w:t>
      </w:r>
    </w:p>
    <w:p w:rsidR="00BE162B" w:rsidRPr="006314C9" w:rsidRDefault="00BE162B" w:rsidP="00152F5E">
      <w:pPr>
        <w:rPr>
          <w:rFonts w:cs="Times New Roman"/>
          <w:i/>
          <w:lang w:val="en-GB"/>
        </w:rPr>
      </w:pPr>
      <w:r w:rsidRPr="006314C9">
        <w:rPr>
          <w:rFonts w:cs="Times New Roman"/>
          <w:i/>
          <w:lang w:val="en-GB"/>
        </w:rPr>
        <w:t xml:space="preserve">Directive Specific Implementation Plans </w:t>
      </w:r>
    </w:p>
    <w:p w:rsidR="00590337" w:rsidRPr="006314C9" w:rsidRDefault="00BE162B">
      <w:pPr>
        <w:rPr>
          <w:lang w:val="en-GB"/>
        </w:rPr>
      </w:pPr>
      <w:r w:rsidRPr="006314C9">
        <w:rPr>
          <w:lang w:val="en-GB"/>
        </w:rPr>
        <w:t>The national water coverage</w:t>
      </w:r>
      <w:r w:rsidR="001970BB" w:rsidRPr="006314C9">
        <w:rPr>
          <w:lang w:val="en-GB"/>
        </w:rPr>
        <w:t xml:space="preserve"> networ</w:t>
      </w:r>
      <w:r w:rsidR="00C243FA" w:rsidRPr="006314C9">
        <w:rPr>
          <w:lang w:val="en-GB"/>
        </w:rPr>
        <w:t>k</w:t>
      </w:r>
      <w:r w:rsidRPr="006314C9">
        <w:rPr>
          <w:lang w:val="en-GB"/>
        </w:rPr>
        <w:t xml:space="preserve"> reaches 78.42 % in 2018. However, there is a huge difference between urban and rural situations. Based on the 2018 data from the Benchmarking Unit (under AKUM), the urban water coverage reaches 93.3% while the rural coverage amounts to 58.4%. Based on the 2018 data from the Benchmarking Unit, the sewerage coverage reaches 51.7% at national level or 77.6% for urban areas and 12.8% for rural areas. Only 11% of the urban population is connected to wastewater treatment which remains very low. There is no wastewater treatment coverage in rural areas.  </w:t>
      </w:r>
    </w:p>
    <w:p w:rsidR="00590337" w:rsidRPr="006314C9" w:rsidRDefault="00BE162B">
      <w:pPr>
        <w:rPr>
          <w:lang w:val="en-GB"/>
        </w:rPr>
      </w:pPr>
      <w:r w:rsidRPr="006314C9">
        <w:rPr>
          <w:lang w:val="en-GB"/>
        </w:rPr>
        <w:t xml:space="preserve">Based on the total design population of the WWTPs (approx. 2 million), the total quantity of sludge that will be produced at the design capacities of the WWTPs is estimated at about 35,000 tones dry solids per year (t </w:t>
      </w:r>
      <w:proofErr w:type="spellStart"/>
      <w:r w:rsidRPr="006314C9">
        <w:rPr>
          <w:lang w:val="en-GB"/>
        </w:rPr>
        <w:t>ds</w:t>
      </w:r>
      <w:proofErr w:type="spellEnd"/>
      <w:r w:rsidRPr="006314C9">
        <w:rPr>
          <w:lang w:val="en-GB"/>
        </w:rPr>
        <w:t>/y). Consequently, sludge will become an increasingly problematic issue unless actions are taken to ensure that it is managed and regulated appropriately. Therefore, a National Sludge Management Strategy should be elaborated and implemented. The range of potentially feasible outlets for sludge may include agriculture</w:t>
      </w:r>
      <w:r w:rsidRPr="006314C9">
        <w:rPr>
          <w:rStyle w:val="FootnoteReference"/>
          <w:rFonts w:cs="Times New Roman"/>
          <w:color w:val="1D1D1D"/>
          <w:lang w:val="en-GB"/>
        </w:rPr>
        <w:footnoteReference w:id="3"/>
      </w:r>
      <w:r w:rsidRPr="006314C9">
        <w:rPr>
          <w:lang w:val="en-GB"/>
        </w:rPr>
        <w:t xml:space="preserve">, forestry, land reclamation, energy recovery and landfill disposal. No laboratory in Albania has experience of analyzing sludge, so it is important that this capability is established. </w:t>
      </w:r>
      <w:r w:rsidR="00FF35F3" w:rsidRPr="006314C9">
        <w:rPr>
          <w:lang w:val="en-GB"/>
        </w:rPr>
        <w:t xml:space="preserve">Even </w:t>
      </w:r>
      <w:r w:rsidR="00FF35F3" w:rsidRPr="006314C9">
        <w:rPr>
          <w:lang w:val="en-GB"/>
        </w:rPr>
        <w:lastRenderedPageBreak/>
        <w:t xml:space="preserve">though the legislation for sludge usage is fully harmonized with the EU Sludge directive, so </w:t>
      </w:r>
      <w:proofErr w:type="spellStart"/>
      <w:r w:rsidR="00F40067" w:rsidRPr="006314C9">
        <w:rPr>
          <w:lang w:val="en-GB"/>
        </w:rPr>
        <w:t>far</w:t>
      </w:r>
      <w:r w:rsidR="00FF35F3" w:rsidRPr="006314C9">
        <w:rPr>
          <w:lang w:val="en-GB"/>
        </w:rPr>
        <w:t>it</w:t>
      </w:r>
      <w:proofErr w:type="spellEnd"/>
      <w:r w:rsidR="00FF35F3" w:rsidRPr="006314C9">
        <w:rPr>
          <w:lang w:val="en-GB"/>
        </w:rPr>
        <w:t xml:space="preserve"> is not implemented. Sludge is used by some farmers in uncontrolled way and some analysis has showed due to huge dilution, sludge does not contain any pathogens that can harm the environment. Activities are needed in order to well analyze the most prospective use of sludge in Albania including to develop mechanisms for safe use of sludge in agriculture or to create facility for its </w:t>
      </w:r>
      <w:r w:rsidR="00773BF4" w:rsidRPr="006314C9">
        <w:rPr>
          <w:lang w:val="en-GB"/>
        </w:rPr>
        <w:t xml:space="preserve">disposal. </w:t>
      </w:r>
    </w:p>
    <w:p w:rsidR="00590337" w:rsidRPr="006314C9" w:rsidRDefault="001970BB">
      <w:pPr>
        <w:rPr>
          <w:lang w:val="en-GB"/>
        </w:rPr>
      </w:pPr>
      <w:r w:rsidRPr="006314C9">
        <w:rPr>
          <w:lang w:val="en-GB"/>
        </w:rPr>
        <w:t>Considering the EU negotiations process, assessment has been made that these directives will need transitional periods to be fully implemented. As a consequence, in order to defend the time</w:t>
      </w:r>
      <w:r w:rsidR="00C243FA" w:rsidRPr="006314C9">
        <w:rPr>
          <w:lang w:val="en-GB"/>
        </w:rPr>
        <w:t>frame</w:t>
      </w:r>
      <w:r w:rsidRPr="006314C9">
        <w:rPr>
          <w:lang w:val="en-GB"/>
        </w:rPr>
        <w:t xml:space="preserve"> for implementation, Directive Specific Implementation Plans (DSIPs) have to be developed, which will assess the full costs of implementation of the two directives and will provide clear plan how and by when the requirements can be met. </w:t>
      </w:r>
    </w:p>
    <w:p w:rsidR="00BE162B" w:rsidRPr="006314C9" w:rsidRDefault="00BE162B" w:rsidP="00F40067">
      <w:pPr>
        <w:rPr>
          <w:lang w:val="en-GB"/>
        </w:rPr>
      </w:pPr>
      <w:r w:rsidRPr="006314C9">
        <w:rPr>
          <w:lang w:val="en-GB"/>
        </w:rPr>
        <w:t>DSIP</w:t>
      </w:r>
      <w:r w:rsidR="00C243FA" w:rsidRPr="006314C9">
        <w:rPr>
          <w:lang w:val="en-GB"/>
        </w:rPr>
        <w:t>s</w:t>
      </w:r>
      <w:r w:rsidRPr="006314C9">
        <w:rPr>
          <w:lang w:val="en-GB"/>
        </w:rPr>
        <w:t xml:space="preserve"> draft report for UWWTD exist since 30 April 2009 but never implemented and is outdated. It is recommended to develop and adopt the Directive Specific Implementation Plans (DSIPs) for approximation </w:t>
      </w:r>
      <w:r w:rsidR="00713E18" w:rsidRPr="006314C9">
        <w:rPr>
          <w:lang w:val="en-GB"/>
        </w:rPr>
        <w:t xml:space="preserve">of </w:t>
      </w:r>
      <w:r w:rsidRPr="006314C9">
        <w:rPr>
          <w:lang w:val="en-GB"/>
        </w:rPr>
        <w:t>Directive 91/271/EC on urban waste water treatment (including also a Strategic Framework for Sludge Management in Albania</w:t>
      </w:r>
      <w:r w:rsidR="00C243FA" w:rsidRPr="006314C9">
        <w:rPr>
          <w:lang w:val="en-GB"/>
        </w:rPr>
        <w:t xml:space="preserve">) and </w:t>
      </w:r>
      <w:r w:rsidRPr="006314C9">
        <w:rPr>
          <w:lang w:val="en-GB"/>
        </w:rPr>
        <w:t xml:space="preserve">for approximation </w:t>
      </w:r>
      <w:r w:rsidR="00C243FA" w:rsidRPr="006314C9">
        <w:rPr>
          <w:lang w:val="en-GB"/>
        </w:rPr>
        <w:t xml:space="preserve">of </w:t>
      </w:r>
      <w:r w:rsidRPr="006314C9">
        <w:rPr>
          <w:lang w:val="en-GB"/>
        </w:rPr>
        <w:t>Directive 98/83/EC on the quality of water intended for human consumption (“drinking water”).</w:t>
      </w:r>
    </w:p>
    <w:p w:rsidR="006E3522" w:rsidRPr="006314C9" w:rsidRDefault="00BE162B" w:rsidP="006E3522">
      <w:pPr>
        <w:rPr>
          <w:rFonts w:cs="Times New Roman"/>
          <w:i/>
          <w:lang w:val="en-GB"/>
        </w:rPr>
      </w:pPr>
      <w:r w:rsidRPr="006314C9">
        <w:rPr>
          <w:rFonts w:cs="Times New Roman"/>
          <w:i/>
          <w:lang w:val="en-GB"/>
        </w:rPr>
        <w:t>Competent authorit</w:t>
      </w:r>
      <w:r w:rsidR="00F40067" w:rsidRPr="006314C9">
        <w:rPr>
          <w:rFonts w:cs="Times New Roman"/>
          <w:i/>
          <w:lang w:val="en-GB"/>
        </w:rPr>
        <w:t>ies</w:t>
      </w:r>
      <w:r w:rsidR="006E3522" w:rsidRPr="006314C9">
        <w:rPr>
          <w:rFonts w:cs="Times New Roman"/>
          <w:i/>
          <w:lang w:val="en-GB"/>
        </w:rPr>
        <w:t xml:space="preserve"> and administrative capacity </w:t>
      </w:r>
    </w:p>
    <w:p w:rsidR="00BE162B" w:rsidRPr="006314C9" w:rsidRDefault="00BE162B" w:rsidP="00F40067">
      <w:pPr>
        <w:rPr>
          <w:lang w:val="en-GB"/>
        </w:rPr>
      </w:pPr>
      <w:r w:rsidRPr="006314C9">
        <w:rPr>
          <w:lang w:val="en-GB"/>
        </w:rPr>
        <w:t xml:space="preserve">Competent Authority (CA) </w:t>
      </w:r>
      <w:r w:rsidR="00F40067" w:rsidRPr="006314C9">
        <w:rPr>
          <w:lang w:val="en-GB"/>
        </w:rPr>
        <w:t xml:space="preserve">for Water sector directives </w:t>
      </w:r>
      <w:r w:rsidRPr="006314C9">
        <w:rPr>
          <w:lang w:val="en-GB"/>
        </w:rPr>
        <w:t xml:space="preserve">and their respective collaborators are detailed as following: </w:t>
      </w:r>
    </w:p>
    <w:p w:rsidR="00BE162B" w:rsidRPr="006314C9" w:rsidRDefault="002F0A16" w:rsidP="00152F5E">
      <w:pPr>
        <w:pStyle w:val="ListParagraph"/>
        <w:numPr>
          <w:ilvl w:val="0"/>
          <w:numId w:val="18"/>
        </w:numPr>
        <w:tabs>
          <w:tab w:val="left" w:pos="0"/>
        </w:tabs>
        <w:spacing w:before="0" w:after="0"/>
        <w:rPr>
          <w:rFonts w:cs="Times New Roman"/>
          <w:lang w:val="en-GB"/>
        </w:rPr>
      </w:pPr>
      <w:r w:rsidRPr="006314C9">
        <w:rPr>
          <w:rFonts w:cs="Times New Roman"/>
          <w:lang w:val="en-GB"/>
        </w:rPr>
        <w:t>CA</w:t>
      </w:r>
      <w:r w:rsidR="00F40067" w:rsidRPr="006314C9">
        <w:rPr>
          <w:rFonts w:cs="Times New Roman"/>
          <w:lang w:val="en-GB"/>
        </w:rPr>
        <w:t xml:space="preserve"> for Water </w:t>
      </w:r>
      <w:proofErr w:type="spellStart"/>
      <w:r w:rsidR="00F40067" w:rsidRPr="006314C9">
        <w:rPr>
          <w:rFonts w:cs="Times New Roman"/>
          <w:lang w:val="en-GB"/>
        </w:rPr>
        <w:t>Framework</w:t>
      </w:r>
      <w:r w:rsidR="00BE162B" w:rsidRPr="006314C9">
        <w:rPr>
          <w:rFonts w:cs="Times New Roman"/>
          <w:lang w:val="en-GB"/>
        </w:rPr>
        <w:t>Directive</w:t>
      </w:r>
      <w:proofErr w:type="spellEnd"/>
      <w:r w:rsidR="00BE162B" w:rsidRPr="006314C9">
        <w:rPr>
          <w:rFonts w:cs="Times New Roman"/>
          <w:lang w:val="en-GB"/>
        </w:rPr>
        <w:t xml:space="preserve"> 2000/60/EC is the Agency on Water Resource Management, in collaboration with the National Water Council and Technical Secretariat of National Water Council.</w:t>
      </w:r>
      <w:r w:rsidR="00713E18" w:rsidRPr="006314C9">
        <w:rPr>
          <w:rFonts w:cs="Times New Roman"/>
          <w:lang w:val="en-GB"/>
        </w:rPr>
        <w:t xml:space="preserve"> It is consider as well as </w:t>
      </w:r>
      <w:r w:rsidR="00CB2C8B" w:rsidRPr="006314C9">
        <w:rPr>
          <w:rFonts w:cs="Times New Roman"/>
          <w:lang w:val="en-GB"/>
        </w:rPr>
        <w:t xml:space="preserve">a </w:t>
      </w:r>
      <w:r w:rsidR="00713E18" w:rsidRPr="006314C9">
        <w:rPr>
          <w:rFonts w:cs="Times New Roman"/>
          <w:lang w:val="en-GB"/>
        </w:rPr>
        <w:t xml:space="preserve">CA responsible for development of water policy in Albania. </w:t>
      </w:r>
    </w:p>
    <w:p w:rsidR="00BE162B" w:rsidRPr="006314C9" w:rsidRDefault="002F0A16" w:rsidP="00152F5E">
      <w:pPr>
        <w:pStyle w:val="ListParagraph"/>
        <w:numPr>
          <w:ilvl w:val="0"/>
          <w:numId w:val="18"/>
        </w:numPr>
        <w:spacing w:before="0" w:after="0"/>
        <w:rPr>
          <w:rFonts w:cs="Times New Roman"/>
          <w:lang w:val="en-GB"/>
        </w:rPr>
      </w:pPr>
      <w:r w:rsidRPr="006314C9">
        <w:rPr>
          <w:rFonts w:cs="Times New Roman"/>
          <w:lang w:val="en-GB"/>
        </w:rPr>
        <w:t>CA</w:t>
      </w:r>
      <w:r w:rsidR="00F40067" w:rsidRPr="006314C9">
        <w:rPr>
          <w:rFonts w:cs="Times New Roman"/>
          <w:lang w:val="en-GB"/>
        </w:rPr>
        <w:t xml:space="preserve"> for Floods</w:t>
      </w:r>
      <w:r w:rsidR="00BE162B" w:rsidRPr="006314C9">
        <w:rPr>
          <w:rFonts w:cs="Times New Roman"/>
          <w:lang w:val="en-GB"/>
        </w:rPr>
        <w:t xml:space="preserve"> Directive 2007/60/EC </w:t>
      </w:r>
      <w:r w:rsidR="00F40067" w:rsidRPr="006314C9">
        <w:rPr>
          <w:rFonts w:cs="Times New Roman"/>
          <w:lang w:val="en-GB"/>
        </w:rPr>
        <w:t xml:space="preserve">is the </w:t>
      </w:r>
      <w:r w:rsidR="00BE162B" w:rsidRPr="006314C9">
        <w:rPr>
          <w:rFonts w:cs="Times New Roman"/>
          <w:lang w:val="en-GB"/>
        </w:rPr>
        <w:t xml:space="preserve">Agency on Water Resource Management, in collaboration with Ministry of </w:t>
      </w:r>
      <w:proofErr w:type="spellStart"/>
      <w:r w:rsidR="00BE162B" w:rsidRPr="006314C9">
        <w:rPr>
          <w:rFonts w:cs="Times New Roman"/>
          <w:lang w:val="en-GB"/>
        </w:rPr>
        <w:t>Defense</w:t>
      </w:r>
      <w:proofErr w:type="spellEnd"/>
      <w:r w:rsidR="00BE162B" w:rsidRPr="006314C9">
        <w:rPr>
          <w:rFonts w:cs="Times New Roman"/>
          <w:lang w:val="en-GB"/>
        </w:rPr>
        <w:t>/Civil Emergencies and Ministry of Education/Institute of Geo-Sciences, Energy, Water and Environment (IGJEUM).</w:t>
      </w:r>
    </w:p>
    <w:p w:rsidR="00BE162B" w:rsidRPr="006314C9" w:rsidRDefault="002F0A16" w:rsidP="00152F5E">
      <w:pPr>
        <w:pStyle w:val="ListParagraph"/>
        <w:numPr>
          <w:ilvl w:val="0"/>
          <w:numId w:val="18"/>
        </w:numPr>
        <w:spacing w:before="0" w:after="0"/>
        <w:rPr>
          <w:rFonts w:cs="Times New Roman"/>
          <w:lang w:val="en-GB"/>
        </w:rPr>
      </w:pPr>
      <w:r w:rsidRPr="006314C9">
        <w:rPr>
          <w:rFonts w:cs="Times New Roman"/>
          <w:lang w:val="en-GB"/>
        </w:rPr>
        <w:t>CA</w:t>
      </w:r>
      <w:r w:rsidR="00F40067" w:rsidRPr="006314C9">
        <w:rPr>
          <w:rFonts w:cs="Times New Roman"/>
          <w:lang w:val="en-GB"/>
        </w:rPr>
        <w:t xml:space="preserve"> for Groundwater</w:t>
      </w:r>
      <w:r w:rsidR="00BE162B" w:rsidRPr="006314C9">
        <w:rPr>
          <w:rFonts w:cs="Times New Roman"/>
          <w:lang w:val="en-GB"/>
        </w:rPr>
        <w:t xml:space="preserve"> Directive 2006/118/EC is the Albanian Geological Survey (AGS), in collaboration with the Agency on Water Resource Management and National Environmental Agency. </w:t>
      </w:r>
    </w:p>
    <w:p w:rsidR="00BE162B" w:rsidRPr="006314C9" w:rsidRDefault="002F0A16" w:rsidP="00152F5E">
      <w:pPr>
        <w:pStyle w:val="ListParagraph"/>
        <w:numPr>
          <w:ilvl w:val="0"/>
          <w:numId w:val="18"/>
        </w:numPr>
        <w:spacing w:before="0" w:after="0"/>
        <w:rPr>
          <w:rFonts w:eastAsiaTheme="minorHAnsi" w:cs="Times New Roman"/>
          <w:lang w:val="en-GB"/>
        </w:rPr>
      </w:pPr>
      <w:r w:rsidRPr="006314C9">
        <w:rPr>
          <w:rFonts w:cs="Times New Roman"/>
          <w:lang w:val="en-GB"/>
        </w:rPr>
        <w:t>CA</w:t>
      </w:r>
      <w:r w:rsidR="00F40067" w:rsidRPr="006314C9">
        <w:rPr>
          <w:rFonts w:cs="Times New Roman"/>
          <w:lang w:val="en-GB"/>
        </w:rPr>
        <w:t xml:space="preserve"> for Quality Assurance/Quality Control</w:t>
      </w:r>
      <w:r w:rsidR="00BE162B" w:rsidRPr="006314C9">
        <w:rPr>
          <w:rFonts w:cs="Times New Roman"/>
          <w:lang w:val="en-GB"/>
        </w:rPr>
        <w:t xml:space="preserve"> Directive 2009/90/EC </w:t>
      </w:r>
      <w:r w:rsidR="00BE162B" w:rsidRPr="006314C9">
        <w:rPr>
          <w:rFonts w:eastAsiaTheme="minorHAnsi" w:cs="Times New Roman"/>
          <w:lang w:val="en-GB"/>
        </w:rPr>
        <w:t xml:space="preserve">is the </w:t>
      </w:r>
      <w:r w:rsidR="00BE162B" w:rsidRPr="006314C9">
        <w:rPr>
          <w:rFonts w:cs="Times New Roman"/>
          <w:lang w:val="en-GB"/>
        </w:rPr>
        <w:t>National Environmental Agency</w:t>
      </w:r>
      <w:r w:rsidR="00BE162B" w:rsidRPr="006314C9">
        <w:rPr>
          <w:rFonts w:eastAsiaTheme="minorHAnsi" w:cs="Times New Roman"/>
          <w:lang w:val="en-GB"/>
        </w:rPr>
        <w:t xml:space="preserve">, </w:t>
      </w:r>
      <w:r w:rsidR="00BE162B" w:rsidRPr="006314C9">
        <w:rPr>
          <w:rFonts w:cs="Times New Roman"/>
          <w:lang w:val="en-GB"/>
        </w:rPr>
        <w:t>in collaboration with the Albanian Geological Survey, the Institute of Public Health Laboratory, the Institute of Nuclear Physics Laboratory the Faculty of Natural Sciences Laboratory.</w:t>
      </w:r>
    </w:p>
    <w:p w:rsidR="00BE162B" w:rsidRPr="006314C9" w:rsidRDefault="002F0A16" w:rsidP="00152F5E">
      <w:pPr>
        <w:pStyle w:val="ListParagraph"/>
        <w:numPr>
          <w:ilvl w:val="0"/>
          <w:numId w:val="18"/>
        </w:numPr>
        <w:spacing w:before="0" w:after="0"/>
        <w:rPr>
          <w:rFonts w:cs="Times New Roman"/>
          <w:lang w:val="en-GB"/>
        </w:rPr>
      </w:pPr>
      <w:proofErr w:type="spellStart"/>
      <w:r w:rsidRPr="006314C9">
        <w:rPr>
          <w:rFonts w:cs="Times New Roman"/>
          <w:lang w:val="en-GB"/>
        </w:rPr>
        <w:t>CA</w:t>
      </w:r>
      <w:r w:rsidR="00F40067" w:rsidRPr="006314C9">
        <w:rPr>
          <w:rFonts w:cs="Times New Roman"/>
          <w:lang w:val="en-GB"/>
        </w:rPr>
        <w:t>for</w:t>
      </w:r>
      <w:proofErr w:type="spellEnd"/>
      <w:r w:rsidR="00F40067" w:rsidRPr="006314C9">
        <w:rPr>
          <w:rFonts w:cs="Times New Roman"/>
          <w:lang w:val="en-GB"/>
        </w:rPr>
        <w:t xml:space="preserve"> Marine Strategy </w:t>
      </w:r>
      <w:r w:rsidR="00BE162B" w:rsidRPr="006314C9">
        <w:rPr>
          <w:rFonts w:cs="Times New Roman"/>
          <w:lang w:val="en-GB"/>
        </w:rPr>
        <w:t>Directive 2008/56/</w:t>
      </w:r>
      <w:proofErr w:type="spellStart"/>
      <w:r w:rsidR="00BE162B" w:rsidRPr="006314C9">
        <w:rPr>
          <w:rFonts w:cs="Times New Roman"/>
          <w:lang w:val="en-GB"/>
        </w:rPr>
        <w:t>ECis</w:t>
      </w:r>
      <w:proofErr w:type="spellEnd"/>
      <w:r w:rsidR="00BE162B" w:rsidRPr="006314C9">
        <w:rPr>
          <w:rFonts w:cs="Times New Roman"/>
          <w:lang w:val="en-GB"/>
        </w:rPr>
        <w:t xml:space="preserve"> the Agency on Water Resource Management, in collaboration with the Ministry of Infrastructure and Energy.</w:t>
      </w:r>
    </w:p>
    <w:p w:rsidR="00BE162B" w:rsidRPr="006314C9" w:rsidRDefault="002F0A16" w:rsidP="00152F5E">
      <w:pPr>
        <w:pStyle w:val="ListParagraph"/>
        <w:numPr>
          <w:ilvl w:val="0"/>
          <w:numId w:val="18"/>
        </w:numPr>
        <w:spacing w:before="0" w:after="0"/>
        <w:rPr>
          <w:rFonts w:cs="Times New Roman"/>
          <w:lang w:val="en-GB"/>
        </w:rPr>
      </w:pPr>
      <w:r w:rsidRPr="006314C9">
        <w:rPr>
          <w:rFonts w:cs="Times New Roman"/>
          <w:lang w:val="en-GB"/>
        </w:rPr>
        <w:t>CA</w:t>
      </w:r>
      <w:r w:rsidR="00F40067" w:rsidRPr="006314C9">
        <w:rPr>
          <w:rFonts w:cs="Times New Roman"/>
          <w:lang w:val="en-GB"/>
        </w:rPr>
        <w:t xml:space="preserve"> for Environmental Quality Standards </w:t>
      </w:r>
      <w:r w:rsidR="00BE162B" w:rsidRPr="006314C9">
        <w:rPr>
          <w:rFonts w:cs="Times New Roman"/>
          <w:lang w:val="en-GB"/>
        </w:rPr>
        <w:t>Directive 2008/105/EC is the National Environmental Agency.</w:t>
      </w:r>
    </w:p>
    <w:p w:rsidR="00BE162B" w:rsidRPr="006314C9" w:rsidRDefault="002F0A16" w:rsidP="00152F5E">
      <w:pPr>
        <w:pStyle w:val="ListParagraph"/>
        <w:numPr>
          <w:ilvl w:val="0"/>
          <w:numId w:val="18"/>
        </w:numPr>
        <w:spacing w:before="0" w:after="0"/>
        <w:rPr>
          <w:rFonts w:cs="Times New Roman"/>
          <w:lang w:val="en-GB"/>
        </w:rPr>
      </w:pPr>
      <w:proofErr w:type="spellStart"/>
      <w:r w:rsidRPr="006314C9">
        <w:rPr>
          <w:rFonts w:cs="Times New Roman"/>
          <w:lang w:val="en-GB"/>
        </w:rPr>
        <w:t>CA</w:t>
      </w:r>
      <w:r w:rsidR="00F40067" w:rsidRPr="006314C9">
        <w:rPr>
          <w:rFonts w:cs="Times New Roman"/>
          <w:lang w:val="en-GB"/>
        </w:rPr>
        <w:t>for</w:t>
      </w:r>
      <w:proofErr w:type="spellEnd"/>
      <w:r w:rsidR="00F40067" w:rsidRPr="006314C9">
        <w:rPr>
          <w:rFonts w:cs="Times New Roman"/>
          <w:lang w:val="en-GB"/>
        </w:rPr>
        <w:t xml:space="preserve"> Nitrates </w:t>
      </w:r>
      <w:r w:rsidR="00BE162B" w:rsidRPr="006314C9">
        <w:rPr>
          <w:rFonts w:cs="Times New Roman"/>
          <w:lang w:val="en-GB"/>
        </w:rPr>
        <w:t>Directive 91/676/EC is the National Agency of Water Supply, Sewerage and Waste Infrastructure, in collaboration with Ministry of Agriculture and Rural Development.</w:t>
      </w:r>
    </w:p>
    <w:p w:rsidR="00BE162B" w:rsidRPr="006314C9" w:rsidRDefault="002F0A16" w:rsidP="00152F5E">
      <w:pPr>
        <w:pStyle w:val="ListParagraph"/>
        <w:numPr>
          <w:ilvl w:val="0"/>
          <w:numId w:val="18"/>
        </w:numPr>
        <w:spacing w:before="0" w:after="0"/>
        <w:rPr>
          <w:rFonts w:cs="Times New Roman"/>
          <w:lang w:val="en-GB"/>
        </w:rPr>
      </w:pPr>
      <w:r w:rsidRPr="006314C9">
        <w:rPr>
          <w:rFonts w:cs="Times New Roman"/>
          <w:lang w:val="en-GB"/>
        </w:rPr>
        <w:t>CA</w:t>
      </w:r>
      <w:r w:rsidR="00F40067" w:rsidRPr="006314C9">
        <w:rPr>
          <w:rFonts w:cs="Times New Roman"/>
          <w:lang w:val="en-GB"/>
        </w:rPr>
        <w:t xml:space="preserve"> for Bathing </w:t>
      </w:r>
      <w:proofErr w:type="spellStart"/>
      <w:r w:rsidR="00F40067" w:rsidRPr="006314C9">
        <w:rPr>
          <w:rFonts w:cs="Times New Roman"/>
          <w:lang w:val="en-GB"/>
        </w:rPr>
        <w:t>Water</w:t>
      </w:r>
      <w:r w:rsidR="00BE162B" w:rsidRPr="006314C9">
        <w:rPr>
          <w:rFonts w:cs="Times New Roman"/>
          <w:lang w:val="en-GB"/>
        </w:rPr>
        <w:t>Directive</w:t>
      </w:r>
      <w:proofErr w:type="spellEnd"/>
      <w:r w:rsidR="00BE162B" w:rsidRPr="006314C9">
        <w:rPr>
          <w:rFonts w:cs="Times New Roman"/>
          <w:lang w:val="en-GB"/>
        </w:rPr>
        <w:t xml:space="preserve"> 2006/7/EC is the Institute of Public Health / Ministry of Health and Social Protection, in collaboration with National Environmental Agency.</w:t>
      </w:r>
    </w:p>
    <w:p w:rsidR="00BE162B" w:rsidRPr="006314C9" w:rsidRDefault="002F0A16" w:rsidP="00152F5E">
      <w:pPr>
        <w:pStyle w:val="ListParagraph"/>
        <w:numPr>
          <w:ilvl w:val="0"/>
          <w:numId w:val="18"/>
        </w:numPr>
        <w:spacing w:before="0" w:after="0"/>
        <w:rPr>
          <w:rFonts w:cs="Times New Roman"/>
          <w:lang w:val="en-GB"/>
        </w:rPr>
      </w:pPr>
      <w:r w:rsidRPr="006314C9">
        <w:rPr>
          <w:rFonts w:cs="Times New Roman"/>
          <w:lang w:val="en-GB"/>
        </w:rPr>
        <w:t>CA</w:t>
      </w:r>
      <w:r w:rsidR="00F40067" w:rsidRPr="006314C9">
        <w:rPr>
          <w:rFonts w:cs="Times New Roman"/>
          <w:lang w:val="en-GB"/>
        </w:rPr>
        <w:t xml:space="preserve"> </w:t>
      </w:r>
      <w:proofErr w:type="spellStart"/>
      <w:r w:rsidR="00F40067" w:rsidRPr="006314C9">
        <w:rPr>
          <w:rFonts w:cs="Times New Roman"/>
          <w:lang w:val="en-GB"/>
        </w:rPr>
        <w:t>forDrinking</w:t>
      </w:r>
      <w:proofErr w:type="spellEnd"/>
      <w:r w:rsidR="00F40067" w:rsidRPr="006314C9">
        <w:rPr>
          <w:rFonts w:cs="Times New Roman"/>
          <w:lang w:val="en-GB"/>
        </w:rPr>
        <w:t xml:space="preserve"> Water </w:t>
      </w:r>
      <w:r w:rsidR="00BE162B" w:rsidRPr="006314C9">
        <w:rPr>
          <w:rFonts w:cs="Times New Roman"/>
          <w:lang w:val="en-GB"/>
        </w:rPr>
        <w:t>Directive 98/83/EC is the Institute of Public Health</w:t>
      </w:r>
      <w:r w:rsidR="005B10C1" w:rsidRPr="006314C9">
        <w:rPr>
          <w:rFonts w:cs="Times New Roman"/>
          <w:lang w:val="en-GB"/>
        </w:rPr>
        <w:t xml:space="preserve"> / Ministry of Health and Social Protection</w:t>
      </w:r>
      <w:r w:rsidR="00BE162B" w:rsidRPr="006314C9">
        <w:rPr>
          <w:rFonts w:cs="Times New Roman"/>
          <w:lang w:val="en-GB"/>
        </w:rPr>
        <w:t xml:space="preserve"> and National Inspectorate of Health In collaboration with the </w:t>
      </w:r>
      <w:r w:rsidR="005B10C1" w:rsidRPr="006314C9">
        <w:rPr>
          <w:rFonts w:cs="Times New Roman"/>
          <w:lang w:val="en-GB"/>
        </w:rPr>
        <w:t xml:space="preserve">Ministry of Infrastructure and Energy, </w:t>
      </w:r>
      <w:r w:rsidR="00BE162B" w:rsidRPr="006314C9">
        <w:rPr>
          <w:rFonts w:cs="Times New Roman"/>
          <w:lang w:val="en-GB"/>
        </w:rPr>
        <w:t>National Agency of Water Supply, Sewerage and Waste Infrastructure and Water regulatory authority.</w:t>
      </w:r>
    </w:p>
    <w:p w:rsidR="00BE162B" w:rsidRPr="006314C9" w:rsidRDefault="002F0A16" w:rsidP="00152F5E">
      <w:pPr>
        <w:pStyle w:val="ListParagraph"/>
        <w:numPr>
          <w:ilvl w:val="0"/>
          <w:numId w:val="18"/>
        </w:numPr>
        <w:spacing w:before="0" w:after="0"/>
        <w:rPr>
          <w:rFonts w:cs="Times New Roman"/>
          <w:lang w:val="en-GB"/>
        </w:rPr>
      </w:pPr>
      <w:r w:rsidRPr="006314C9">
        <w:rPr>
          <w:rFonts w:cs="Times New Roman"/>
          <w:lang w:val="en-GB"/>
        </w:rPr>
        <w:t>CA</w:t>
      </w:r>
      <w:r w:rsidR="006E3522" w:rsidRPr="006314C9">
        <w:rPr>
          <w:rFonts w:cs="Times New Roman"/>
          <w:lang w:val="en-GB"/>
        </w:rPr>
        <w:t xml:space="preserve"> for UWWT</w:t>
      </w:r>
      <w:r w:rsidR="00BE162B" w:rsidRPr="006314C9">
        <w:rPr>
          <w:rFonts w:cs="Times New Roman"/>
          <w:lang w:val="en-GB"/>
        </w:rPr>
        <w:t xml:space="preserve"> Directive 91/271/EEC is the </w:t>
      </w:r>
      <w:r w:rsidR="005B10C1" w:rsidRPr="006314C9">
        <w:rPr>
          <w:rFonts w:cs="Times New Roman"/>
          <w:lang w:val="en-GB"/>
        </w:rPr>
        <w:t xml:space="preserve">Ministry of Infrastructure and Energy, </w:t>
      </w:r>
      <w:r w:rsidR="00BE162B" w:rsidRPr="006314C9">
        <w:rPr>
          <w:rFonts w:cs="Times New Roman"/>
          <w:lang w:val="en-GB"/>
        </w:rPr>
        <w:t>National Agency of Water Supply, Sewerage and Waste Infrastructure, in collaboration with National Environmental Agency and Water regulatory authority.</w:t>
      </w:r>
    </w:p>
    <w:p w:rsidR="008D410C" w:rsidRPr="006314C9" w:rsidRDefault="008D410C" w:rsidP="00152F5E">
      <w:pPr>
        <w:pStyle w:val="BodyText"/>
        <w:spacing w:after="0" w:line="240" w:lineRule="auto"/>
        <w:jc w:val="both"/>
        <w:rPr>
          <w:rFonts w:ascii="Times New Roman" w:hAnsi="Times New Roman" w:cs="Times New Roman"/>
          <w:sz w:val="22"/>
          <w:szCs w:val="22"/>
          <w:lang w:val="en-GB" w:eastAsia="en-US"/>
        </w:rPr>
      </w:pPr>
    </w:p>
    <w:p w:rsidR="00590337" w:rsidRPr="006314C9" w:rsidRDefault="008D410C">
      <w:pPr>
        <w:rPr>
          <w:lang w:val="en-GB"/>
        </w:rPr>
      </w:pPr>
      <w:r w:rsidRPr="006314C9">
        <w:rPr>
          <w:lang w:val="en-GB"/>
        </w:rPr>
        <w:lastRenderedPageBreak/>
        <w:t xml:space="preserve">Based on legal framework, </w:t>
      </w:r>
      <w:r w:rsidR="002F0A16" w:rsidRPr="006314C9">
        <w:rPr>
          <w:bCs/>
          <w:lang w:val="en-GB"/>
        </w:rPr>
        <w:t>The National Water Council (NWC)</w:t>
      </w:r>
      <w:r w:rsidRPr="006314C9">
        <w:rPr>
          <w:lang w:val="en-GB"/>
        </w:rPr>
        <w:t xml:space="preserve"> is the inter-ministerial decision-making body responsible for the water resources administration chaired by the Prime Minister. The </w:t>
      </w:r>
      <w:r w:rsidR="002F0A16" w:rsidRPr="006314C9">
        <w:rPr>
          <w:bCs/>
          <w:lang w:val="en-GB"/>
        </w:rPr>
        <w:t>Agency for Water Resources Management (AMBU/AWRM</w:t>
      </w:r>
      <w:r w:rsidRPr="006314C9">
        <w:rPr>
          <w:lang w:val="en-GB"/>
        </w:rPr>
        <w:t xml:space="preserve">) is the main authority in the country responsible for water resource management including policy/strategy preparation, management of water resources through preparation and implementation of the river basin management plans, hence implementation of the EU WFD requirements. It is organized in main departments and having main </w:t>
      </w:r>
      <w:r w:rsidR="002F0A16" w:rsidRPr="006314C9">
        <w:rPr>
          <w:bCs/>
          <w:lang w:val="en-GB"/>
        </w:rPr>
        <w:t xml:space="preserve">Water Basin Administration </w:t>
      </w:r>
      <w:proofErr w:type="gramStart"/>
      <w:r w:rsidR="002F0A16" w:rsidRPr="006314C9">
        <w:rPr>
          <w:bCs/>
          <w:lang w:val="en-GB"/>
        </w:rPr>
        <w:t>Offices(</w:t>
      </w:r>
      <w:proofErr w:type="gramEnd"/>
      <w:r w:rsidR="002F0A16" w:rsidRPr="006314C9">
        <w:rPr>
          <w:bCs/>
          <w:lang w:val="en-GB"/>
        </w:rPr>
        <w:t>WBAO)</w:t>
      </w:r>
      <w:r w:rsidRPr="006314C9">
        <w:rPr>
          <w:lang w:val="en-GB"/>
        </w:rPr>
        <w:t xml:space="preserve"> at river basin level.</w:t>
      </w:r>
    </w:p>
    <w:p w:rsidR="00590337" w:rsidRPr="006314C9" w:rsidRDefault="00BE162B">
      <w:pPr>
        <w:rPr>
          <w:lang w:val="en-GB"/>
        </w:rPr>
      </w:pPr>
      <w:r w:rsidRPr="006314C9">
        <w:rPr>
          <w:lang w:val="en-GB"/>
        </w:rPr>
        <w:t>The responsibility for the overall water resource is the National Water Council, a central decision-making authority in the field of water resource administration in the Republic of Albania. National Water Council (NWC) is the main inter-institutional body chaired by the Prime Minister of Albania, Vice Prime Minister and line ministers responsible for drafting policies and plans for integrated water resource management.</w:t>
      </w:r>
    </w:p>
    <w:p w:rsidR="00590337" w:rsidRPr="006314C9" w:rsidRDefault="00BE162B">
      <w:pPr>
        <w:rPr>
          <w:lang w:val="en-GB"/>
        </w:rPr>
      </w:pPr>
      <w:r w:rsidRPr="006314C9">
        <w:rPr>
          <w:lang w:val="en-GB"/>
        </w:rPr>
        <w:t xml:space="preserve">National Agency of Water Resources </w:t>
      </w:r>
      <w:proofErr w:type="gramStart"/>
      <w:r w:rsidRPr="006314C9">
        <w:rPr>
          <w:lang w:val="en-GB"/>
        </w:rPr>
        <w:t>Management</w:t>
      </w:r>
      <w:proofErr w:type="gramEnd"/>
      <w:r w:rsidR="00097DB8" w:rsidRPr="006314C9">
        <w:rPr>
          <w:vertAlign w:val="superscript"/>
          <w:lang w:val="en-GB"/>
        </w:rPr>
        <w:footnoteReference w:id="4"/>
      </w:r>
      <w:r w:rsidR="00713E18" w:rsidRPr="006314C9">
        <w:rPr>
          <w:lang w:val="en-GB"/>
        </w:rPr>
        <w:t xml:space="preserve">(AMBU) </w:t>
      </w:r>
      <w:r w:rsidRPr="006314C9">
        <w:rPr>
          <w:lang w:val="en-GB"/>
        </w:rPr>
        <w:t xml:space="preserve">is the executive authority of NWC responsible for the development and implementation of policies and strategies related to integrated water resources in Albania, ensuring effective functioning and monitoring of the total integrated water system in the country. One of the </w:t>
      </w:r>
      <w:proofErr w:type="spellStart"/>
      <w:r w:rsidR="002F0A16" w:rsidRPr="006314C9">
        <w:rPr>
          <w:lang w:val="en-GB"/>
        </w:rPr>
        <w:t>AMBU’s</w:t>
      </w:r>
      <w:r w:rsidRPr="006314C9">
        <w:rPr>
          <w:lang w:val="en-GB"/>
        </w:rPr>
        <w:t>competence</w:t>
      </w:r>
      <w:r w:rsidR="00B95D6A" w:rsidRPr="006314C9">
        <w:rPr>
          <w:lang w:val="en-GB"/>
        </w:rPr>
        <w:t>is</w:t>
      </w:r>
      <w:proofErr w:type="spellEnd"/>
      <w:r w:rsidR="00B95D6A" w:rsidRPr="006314C9">
        <w:rPr>
          <w:lang w:val="en-GB"/>
        </w:rPr>
        <w:t xml:space="preserve"> to direct and coordinate the work with line ministries for all the integration processes in the European Union, </w:t>
      </w:r>
      <w:r w:rsidRPr="006314C9">
        <w:rPr>
          <w:lang w:val="en-GB"/>
        </w:rPr>
        <w:t xml:space="preserve">as far as the water sector is concerned.  The agency plays also the role of the Technical Secretariat of National Water Council. </w:t>
      </w:r>
      <w:r w:rsidR="004D1DAF" w:rsidRPr="006314C9">
        <w:rPr>
          <w:lang w:val="en-GB"/>
        </w:rPr>
        <w:t xml:space="preserve">The capacity is not sufficient to follow the work load the agency has. </w:t>
      </w:r>
    </w:p>
    <w:p w:rsidR="00590337" w:rsidRPr="006314C9" w:rsidRDefault="00BE162B">
      <w:pPr>
        <w:rPr>
          <w:lang w:val="en-GB"/>
        </w:rPr>
      </w:pPr>
      <w:r w:rsidRPr="006314C9">
        <w:rPr>
          <w:lang w:val="en-GB"/>
        </w:rPr>
        <w:t xml:space="preserve">River Basin Councils (6 RBC) are set up under the DCM No 342, dated 4.05.2016 “On approval of territorial and </w:t>
      </w:r>
      <w:proofErr w:type="spellStart"/>
      <w:r w:rsidRPr="006314C9">
        <w:rPr>
          <w:lang w:val="en-GB"/>
        </w:rPr>
        <w:t>hydrographic</w:t>
      </w:r>
      <w:proofErr w:type="spellEnd"/>
      <w:r w:rsidRPr="006314C9">
        <w:rPr>
          <w:lang w:val="en-GB"/>
        </w:rPr>
        <w:t xml:space="preserve"> boundaries of water basins in the Republic of Albania and centre and composition of their council”, while Water Basin </w:t>
      </w:r>
      <w:r w:rsidR="004D1DAF" w:rsidRPr="006314C9">
        <w:rPr>
          <w:lang w:val="en-GB"/>
        </w:rPr>
        <w:t xml:space="preserve">Administration </w:t>
      </w:r>
      <w:r w:rsidRPr="006314C9">
        <w:rPr>
          <w:lang w:val="en-GB"/>
        </w:rPr>
        <w:t xml:space="preserve">Offices (4) </w:t>
      </w:r>
      <w:r w:rsidR="004D1DAF" w:rsidRPr="006314C9">
        <w:rPr>
          <w:lang w:val="en-GB"/>
        </w:rPr>
        <w:t xml:space="preserve">(WBAO) </w:t>
      </w:r>
      <w:r w:rsidRPr="006314C9">
        <w:rPr>
          <w:lang w:val="en-GB"/>
        </w:rPr>
        <w:t xml:space="preserve">are set up under the AMBU. The chairman of the RBC is the region's largest prefecture where the water basin is </w:t>
      </w:r>
      <w:proofErr w:type="gramStart"/>
      <w:r w:rsidRPr="006314C9">
        <w:rPr>
          <w:lang w:val="en-GB"/>
        </w:rPr>
        <w:t>located,</w:t>
      </w:r>
      <w:proofErr w:type="gramEnd"/>
      <w:r w:rsidRPr="006314C9">
        <w:rPr>
          <w:lang w:val="en-GB"/>
        </w:rPr>
        <w:t xml:space="preserve"> the vice-chairman of the RBC is elected by the Water Basin Council. The Secretary of the RBC is the Head of the Water Basin Management Office. </w:t>
      </w:r>
    </w:p>
    <w:p w:rsidR="00590337" w:rsidRPr="006314C9" w:rsidRDefault="00BE162B">
      <w:pPr>
        <w:rPr>
          <w:lang w:val="en-GB"/>
        </w:rPr>
      </w:pPr>
      <w:r w:rsidRPr="006314C9">
        <w:rPr>
          <w:lang w:val="en-GB"/>
        </w:rPr>
        <w:t>The River Basin Council approves the management plan for the water resources of the basin, the respective budget and makes the respective recommendations of the local government units of the implementation. In addition, it is responsible for approving water extraction tariffs and licenses (authorizations, permits and concessions) on water usage</w:t>
      </w:r>
      <w:r w:rsidR="00EC7EC7" w:rsidRPr="006314C9">
        <w:rPr>
          <w:lang w:val="en-GB"/>
        </w:rPr>
        <w:t>.</w:t>
      </w:r>
      <w:r w:rsidR="004D1DAF" w:rsidRPr="006314C9">
        <w:rPr>
          <w:lang w:val="en-GB"/>
        </w:rPr>
        <w:t xml:space="preserve"> In addition</w:t>
      </w:r>
      <w:r w:rsidR="006E3522" w:rsidRPr="006314C9">
        <w:rPr>
          <w:lang w:val="en-GB"/>
        </w:rPr>
        <w:t>,</w:t>
      </w:r>
      <w:r w:rsidR="004D1DAF" w:rsidRPr="006314C9">
        <w:rPr>
          <w:lang w:val="en-GB"/>
        </w:rPr>
        <w:t xml:space="preserve"> RBC</w:t>
      </w:r>
      <w:r w:rsidR="006E3522" w:rsidRPr="006314C9">
        <w:rPr>
          <w:lang w:val="en-GB"/>
        </w:rPr>
        <w:t>s</w:t>
      </w:r>
      <w:r w:rsidR="004D1DAF" w:rsidRPr="006314C9">
        <w:rPr>
          <w:lang w:val="en-GB"/>
        </w:rPr>
        <w:t xml:space="preserve"> are responsible bodies at local level for the integrated water resources management in the concerned basin, and it shall ensure the conservation and protection of the water resources, as well as an equal distribution of the water resources within the concerned basin. The WBAO play also the role for the technical secretariat to the RBCs.  </w:t>
      </w:r>
    </w:p>
    <w:p w:rsidR="00BE162B" w:rsidRPr="006314C9" w:rsidRDefault="00BE162B" w:rsidP="006E3522">
      <w:pPr>
        <w:rPr>
          <w:bCs/>
          <w:lang w:val="en-GB"/>
        </w:rPr>
      </w:pPr>
      <w:r w:rsidRPr="006314C9">
        <w:rPr>
          <w:lang w:val="en-GB"/>
        </w:rPr>
        <w:t xml:space="preserve">Apart from legal arrangements, river basin councils and river management basin offices are limited in workforce because of the capacities required for planning and implementation of integrated RBMPs. Their main activities are merely focused on the preparation of permits for use of water resources (abstraction as well as discharge) and supervising their implementation. </w:t>
      </w:r>
      <w:r w:rsidRPr="006314C9">
        <w:rPr>
          <w:bCs/>
          <w:lang w:val="en-GB"/>
        </w:rPr>
        <w:t xml:space="preserve">National authorities should strengthen national water management structures responsible for developing and implementing the RBMPs, in accordance with the EU water </w:t>
      </w:r>
      <w:proofErr w:type="spellStart"/>
      <w:r w:rsidRPr="006314C9">
        <w:rPr>
          <w:bCs/>
          <w:lang w:val="en-GB"/>
        </w:rPr>
        <w:t>acquis</w:t>
      </w:r>
      <w:proofErr w:type="spellEnd"/>
      <w:r w:rsidRPr="006314C9">
        <w:rPr>
          <w:bCs/>
          <w:lang w:val="en-GB"/>
        </w:rPr>
        <w:t xml:space="preserve">. </w:t>
      </w:r>
      <w:r w:rsidRPr="006314C9">
        <w:rPr>
          <w:lang w:val="en-GB"/>
        </w:rPr>
        <w:t xml:space="preserve">The establishment of a permanent training programme/learning and development platform for the respective water resources sector institutions is strongly advised and requested. </w:t>
      </w:r>
    </w:p>
    <w:p w:rsidR="00590337" w:rsidRPr="006314C9" w:rsidRDefault="00E634BE">
      <w:pPr>
        <w:rPr>
          <w:lang w:val="en-GB"/>
        </w:rPr>
      </w:pPr>
      <w:r w:rsidRPr="006314C9">
        <w:rPr>
          <w:lang w:val="en-GB"/>
        </w:rPr>
        <w:t>The administrative structure summary of water management authorities:</w:t>
      </w:r>
    </w:p>
    <w:p w:rsidR="00590337" w:rsidRPr="006314C9" w:rsidRDefault="00E634BE">
      <w:pPr>
        <w:pStyle w:val="ListParagraph"/>
        <w:numPr>
          <w:ilvl w:val="0"/>
          <w:numId w:val="30"/>
        </w:numPr>
        <w:rPr>
          <w:rFonts w:eastAsia="Times New Roman"/>
          <w:lang w:val="en-GB"/>
        </w:rPr>
      </w:pPr>
      <w:r w:rsidRPr="006314C9">
        <w:rPr>
          <w:rFonts w:eastAsia="Times New Roman"/>
          <w:lang w:val="en-GB"/>
        </w:rPr>
        <w:t xml:space="preserve">AMBU </w:t>
      </w:r>
      <w:r w:rsidR="00BC69C8" w:rsidRPr="006314C9">
        <w:rPr>
          <w:rFonts w:eastAsia="Times New Roman"/>
          <w:lang w:val="en-GB"/>
        </w:rPr>
        <w:t xml:space="preserve">23 </w:t>
      </w:r>
      <w:r w:rsidR="00A81F8F" w:rsidRPr="006314C9">
        <w:rPr>
          <w:rFonts w:eastAsia="Times New Roman"/>
          <w:lang w:val="en-GB"/>
        </w:rPr>
        <w:t>employees</w:t>
      </w:r>
    </w:p>
    <w:p w:rsidR="00590337" w:rsidRPr="006314C9" w:rsidRDefault="00E634BE">
      <w:pPr>
        <w:pStyle w:val="ListParagraph"/>
        <w:numPr>
          <w:ilvl w:val="0"/>
          <w:numId w:val="30"/>
        </w:numPr>
        <w:rPr>
          <w:rFonts w:eastAsia="Times New Roman"/>
          <w:lang w:val="en-GB"/>
        </w:rPr>
      </w:pPr>
      <w:r w:rsidRPr="006314C9">
        <w:rPr>
          <w:rFonts w:eastAsia="Times New Roman"/>
          <w:lang w:val="en-GB"/>
        </w:rPr>
        <w:t xml:space="preserve">4 Water Basin Administration Offices </w:t>
      </w:r>
      <w:r w:rsidR="00BC69C8" w:rsidRPr="006314C9">
        <w:rPr>
          <w:rFonts w:eastAsia="Times New Roman"/>
          <w:lang w:val="en-GB"/>
        </w:rPr>
        <w:t xml:space="preserve">(26 </w:t>
      </w:r>
      <w:r w:rsidRPr="006314C9">
        <w:rPr>
          <w:rFonts w:eastAsia="Times New Roman"/>
          <w:lang w:val="en-GB"/>
        </w:rPr>
        <w:t xml:space="preserve">employees) (under AMBU/AWRM management) </w:t>
      </w:r>
    </w:p>
    <w:p w:rsidR="00590337" w:rsidRPr="006314C9" w:rsidRDefault="00E634BE">
      <w:pPr>
        <w:pStyle w:val="ListParagraph"/>
        <w:numPr>
          <w:ilvl w:val="0"/>
          <w:numId w:val="30"/>
        </w:numPr>
        <w:rPr>
          <w:rFonts w:eastAsia="Times New Roman"/>
          <w:lang w:val="en-GB"/>
        </w:rPr>
      </w:pPr>
      <w:r w:rsidRPr="006314C9">
        <w:rPr>
          <w:rFonts w:eastAsia="Times New Roman"/>
          <w:lang w:val="en-GB"/>
        </w:rPr>
        <w:t xml:space="preserve">6 River Basin Councils </w:t>
      </w:r>
      <w:r w:rsidR="00BC69C8" w:rsidRPr="006314C9">
        <w:rPr>
          <w:rFonts w:eastAsia="Times New Roman"/>
          <w:lang w:val="en-GB"/>
        </w:rPr>
        <w:t xml:space="preserve">(Appointed members – different for every Council </w:t>
      </w:r>
      <w:proofErr w:type="spellStart"/>
      <w:r w:rsidR="00BC69C8" w:rsidRPr="006314C9">
        <w:rPr>
          <w:rFonts w:eastAsia="Times New Roman"/>
          <w:lang w:val="en-GB"/>
        </w:rPr>
        <w:t>Ishem-Erzen</w:t>
      </w:r>
      <w:proofErr w:type="spellEnd"/>
      <w:r w:rsidR="00BC69C8" w:rsidRPr="006314C9">
        <w:rPr>
          <w:rFonts w:eastAsia="Times New Roman"/>
          <w:lang w:val="en-GB"/>
        </w:rPr>
        <w:t xml:space="preserve"> 21 members; Mat 15 members)</w:t>
      </w:r>
    </w:p>
    <w:p w:rsidR="00BE162B" w:rsidRPr="006314C9" w:rsidRDefault="00BE162B" w:rsidP="006E3522">
      <w:pPr>
        <w:rPr>
          <w:lang w:val="en-GB"/>
        </w:rPr>
      </w:pPr>
      <w:r w:rsidRPr="006314C9">
        <w:rPr>
          <w:lang w:val="en-GB"/>
        </w:rPr>
        <w:lastRenderedPageBreak/>
        <w:t>The following authorities in charge with 3 water directives have not appoint</w:t>
      </w:r>
      <w:r w:rsidR="006E3522" w:rsidRPr="006314C9">
        <w:rPr>
          <w:lang w:val="en-GB"/>
        </w:rPr>
        <w:t>ed</w:t>
      </w:r>
      <w:r w:rsidRPr="006314C9">
        <w:rPr>
          <w:lang w:val="en-GB"/>
        </w:rPr>
        <w:t xml:space="preserve"> a person to oversee transposition/policy/implementation planning of the directives. </w:t>
      </w:r>
      <w:proofErr w:type="gramStart"/>
      <w:r w:rsidR="00EF7144" w:rsidRPr="006314C9">
        <w:rPr>
          <w:lang w:val="en-GB"/>
        </w:rPr>
        <w:t>The</w:t>
      </w:r>
      <w:r w:rsidRPr="006314C9">
        <w:rPr>
          <w:lang w:val="en-GB"/>
        </w:rPr>
        <w:t xml:space="preserve"> Albanian Geological Survey </w:t>
      </w:r>
      <w:r w:rsidR="00EF7144" w:rsidRPr="006314C9">
        <w:rPr>
          <w:lang w:val="en-GB"/>
        </w:rPr>
        <w:t>need to</w:t>
      </w:r>
      <w:r w:rsidRPr="006314C9">
        <w:rPr>
          <w:lang w:val="en-GB"/>
        </w:rPr>
        <w:t xml:space="preserve"> appoint a dedicated staff to follow the transposition/implementation of the Directive 2006/118/EC </w:t>
      </w:r>
      <w:r w:rsidR="00B95D6A" w:rsidRPr="006314C9">
        <w:rPr>
          <w:i/>
          <w:lang w:val="en-GB"/>
        </w:rPr>
        <w:t>“on the protection of groundwater against pollution and deterioration”</w:t>
      </w:r>
      <w:r w:rsidRPr="006314C9">
        <w:rPr>
          <w:lang w:val="en-GB"/>
        </w:rPr>
        <w:t>.</w:t>
      </w:r>
      <w:proofErr w:type="gramEnd"/>
      <w:r w:rsidRPr="006314C9">
        <w:rPr>
          <w:lang w:val="en-GB"/>
        </w:rPr>
        <w:t xml:space="preserve"> Ministry of Infrastructure and Energy in charge for all maritime transport related issues, marine hydrocarbon projects; and wind offshore farms, </w:t>
      </w:r>
      <w:r w:rsidR="00EF7144" w:rsidRPr="006314C9">
        <w:rPr>
          <w:lang w:val="en-GB"/>
        </w:rPr>
        <w:t>i</w:t>
      </w:r>
      <w:r w:rsidRPr="006314C9">
        <w:rPr>
          <w:lang w:val="en-GB"/>
        </w:rPr>
        <w:t>nfrastructure in the coastline, ports, marine spatial planning, integrated cross-</w:t>
      </w:r>
      <w:proofErr w:type="spellStart"/>
      <w:r w:rsidRPr="006314C9">
        <w:rPr>
          <w:lang w:val="en-GB"/>
        </w:rPr>
        <w:t>sectoral</w:t>
      </w:r>
      <w:proofErr w:type="spellEnd"/>
      <w:r w:rsidRPr="006314C9">
        <w:rPr>
          <w:lang w:val="en-GB"/>
        </w:rPr>
        <w:t xml:space="preserve"> plan for coastal line, ensures that planning is made on the basis of sustainable development of the territory through rational use of natural resources, </w:t>
      </w:r>
      <w:r w:rsidR="00EF7144" w:rsidRPr="006314C9">
        <w:rPr>
          <w:lang w:val="en-GB"/>
        </w:rPr>
        <w:t xml:space="preserve">need to </w:t>
      </w:r>
      <w:r w:rsidRPr="006314C9">
        <w:rPr>
          <w:lang w:val="en-GB"/>
        </w:rPr>
        <w:t xml:space="preserve">appoint a dedicated staff to transpose/implement the Directive 2008/56/EC “on the establishment of a framework for community action in the field of marine environmental policy”. Ministry of Agriculture and Rural Development in close collaboration with National Agency of Water Supply, Sewerage and Waste Infrastructure </w:t>
      </w:r>
      <w:r w:rsidR="00EF7144" w:rsidRPr="006314C9">
        <w:rPr>
          <w:lang w:val="en-GB"/>
        </w:rPr>
        <w:t>need to</w:t>
      </w:r>
      <w:r w:rsidRPr="006314C9">
        <w:rPr>
          <w:lang w:val="en-GB"/>
        </w:rPr>
        <w:t xml:space="preserve"> appoint a dedicated staff to transpose/implement the Directive 91/676/EEC </w:t>
      </w:r>
      <w:proofErr w:type="spellStart"/>
      <w:r w:rsidRPr="006314C9">
        <w:rPr>
          <w:lang w:val="en-GB"/>
        </w:rPr>
        <w:t>onthe</w:t>
      </w:r>
      <w:proofErr w:type="spellEnd"/>
      <w:r w:rsidRPr="006314C9">
        <w:rPr>
          <w:lang w:val="en-GB"/>
        </w:rPr>
        <w:t xml:space="preserve"> concern of the protection of waters against pollution caused by nitrates from agricultural sources”.</w:t>
      </w:r>
    </w:p>
    <w:p w:rsidR="00590337" w:rsidRPr="006314C9" w:rsidRDefault="00F14EAE">
      <w:pPr>
        <w:rPr>
          <w:lang w:val="en-GB"/>
        </w:rPr>
      </w:pPr>
      <w:r w:rsidRPr="006314C9">
        <w:rPr>
          <w:lang w:val="en-GB"/>
        </w:rPr>
        <w:t xml:space="preserve">The </w:t>
      </w:r>
      <w:r w:rsidR="00425740" w:rsidRPr="006314C9">
        <w:rPr>
          <w:lang w:val="en-GB"/>
        </w:rPr>
        <w:t xml:space="preserve">water basins structure can be </w:t>
      </w:r>
      <w:r w:rsidRPr="006314C9">
        <w:rPr>
          <w:lang w:val="en-GB"/>
        </w:rPr>
        <w:t>summar</w:t>
      </w:r>
      <w:r w:rsidR="00425740" w:rsidRPr="006314C9">
        <w:rPr>
          <w:lang w:val="en-GB"/>
        </w:rPr>
        <w:t xml:space="preserve">ised </w:t>
      </w:r>
      <w:r w:rsidRPr="006314C9">
        <w:rPr>
          <w:lang w:val="en-GB"/>
        </w:rPr>
        <w:t>below:</w:t>
      </w:r>
    </w:p>
    <w:p w:rsidR="00590337" w:rsidRPr="006314C9" w:rsidRDefault="00F14EAE">
      <w:pPr>
        <w:pStyle w:val="ListParagraph"/>
        <w:numPr>
          <w:ilvl w:val="0"/>
          <w:numId w:val="31"/>
        </w:numPr>
        <w:rPr>
          <w:rFonts w:eastAsia="Times New Roman"/>
          <w:lang w:val="en-GB"/>
        </w:rPr>
      </w:pPr>
      <w:r w:rsidRPr="006314C9">
        <w:rPr>
          <w:rFonts w:eastAsia="Times New Roman"/>
          <w:lang w:val="en-GB"/>
        </w:rPr>
        <w:t xml:space="preserve">River basins  </w:t>
      </w:r>
    </w:p>
    <w:p w:rsidR="00590337" w:rsidRPr="006314C9" w:rsidRDefault="00F14EAE">
      <w:pPr>
        <w:pStyle w:val="ListParagraph"/>
        <w:numPr>
          <w:ilvl w:val="0"/>
          <w:numId w:val="31"/>
        </w:numPr>
        <w:rPr>
          <w:rFonts w:eastAsia="Times New Roman"/>
          <w:lang w:val="en-GB"/>
        </w:rPr>
      </w:pPr>
      <w:r w:rsidRPr="006314C9">
        <w:rPr>
          <w:rFonts w:eastAsia="Times New Roman"/>
          <w:lang w:val="en-GB"/>
        </w:rPr>
        <w:t xml:space="preserve">Water Basin Administration Offices (under AMBU/AWRM) </w:t>
      </w:r>
    </w:p>
    <w:p w:rsidR="00590337" w:rsidRPr="006314C9" w:rsidRDefault="00F14EAE">
      <w:pPr>
        <w:pStyle w:val="ListParagraph"/>
        <w:numPr>
          <w:ilvl w:val="0"/>
          <w:numId w:val="31"/>
        </w:numPr>
        <w:rPr>
          <w:lang w:val="en-GB"/>
        </w:rPr>
      </w:pPr>
      <w:r w:rsidRPr="006314C9">
        <w:rPr>
          <w:rFonts w:eastAsia="Times New Roman"/>
          <w:lang w:val="en-GB"/>
        </w:rPr>
        <w:t xml:space="preserve">River Basin Councils </w:t>
      </w:r>
    </w:p>
    <w:p w:rsidR="00BE162B" w:rsidRPr="006314C9" w:rsidRDefault="00EF7144" w:rsidP="006E3522">
      <w:pPr>
        <w:rPr>
          <w:lang w:val="en-GB"/>
        </w:rPr>
      </w:pPr>
      <w:r w:rsidRPr="006314C9">
        <w:rPr>
          <w:lang w:val="en-GB"/>
        </w:rPr>
        <w:t>AMBU</w:t>
      </w:r>
      <w:r w:rsidR="00BE162B" w:rsidRPr="006314C9">
        <w:rPr>
          <w:lang w:val="en-GB"/>
        </w:rPr>
        <w:t xml:space="preserve">, Ministry of Infrastructure and Energy, Ministry of Tourism and Environment, Ministry of Health and Social Protection, Ministry of </w:t>
      </w:r>
      <w:r w:rsidR="000340FB" w:rsidRPr="006314C9">
        <w:rPr>
          <w:lang w:val="en-GB"/>
        </w:rPr>
        <w:t>Defence</w:t>
      </w:r>
      <w:r w:rsidR="00BE162B" w:rsidRPr="006314C9">
        <w:rPr>
          <w:lang w:val="en-GB"/>
        </w:rPr>
        <w:t xml:space="preserve"> are the dominant authorities responsible for transposition, policy making and implementation for all directives and recommendation</w:t>
      </w:r>
      <w:r w:rsidRPr="006314C9">
        <w:rPr>
          <w:lang w:val="en-GB"/>
        </w:rPr>
        <w:t>s</w:t>
      </w:r>
      <w:r w:rsidR="00BE162B" w:rsidRPr="006314C9">
        <w:rPr>
          <w:lang w:val="en-GB"/>
        </w:rPr>
        <w:t xml:space="preserve"> related to this sub-chapter. </w:t>
      </w:r>
      <w:r w:rsidRPr="006314C9">
        <w:rPr>
          <w:lang w:val="en-GB"/>
        </w:rPr>
        <w:t xml:space="preserve">It is obvious that at </w:t>
      </w:r>
      <w:r w:rsidR="00EC7EC7" w:rsidRPr="006314C9">
        <w:rPr>
          <w:lang w:val="en-GB"/>
        </w:rPr>
        <w:t>e</w:t>
      </w:r>
      <w:r w:rsidR="00BE162B" w:rsidRPr="006314C9">
        <w:rPr>
          <w:lang w:val="en-GB"/>
        </w:rPr>
        <w:t xml:space="preserve">ach ministry </w:t>
      </w:r>
      <w:r w:rsidRPr="006314C9">
        <w:rPr>
          <w:lang w:val="en-GB"/>
        </w:rPr>
        <w:t xml:space="preserve">level there </w:t>
      </w:r>
      <w:r w:rsidR="00BE162B" w:rsidRPr="006314C9">
        <w:rPr>
          <w:lang w:val="en-GB"/>
        </w:rPr>
        <w:t xml:space="preserve">has </w:t>
      </w:r>
      <w:r w:rsidRPr="006314C9">
        <w:rPr>
          <w:lang w:val="en-GB"/>
        </w:rPr>
        <w:t xml:space="preserve">been </w:t>
      </w:r>
      <w:r w:rsidR="00BE162B" w:rsidRPr="006314C9">
        <w:rPr>
          <w:lang w:val="en-GB"/>
        </w:rPr>
        <w:t xml:space="preserve">appointed </w:t>
      </w:r>
      <w:r w:rsidRPr="006314C9">
        <w:rPr>
          <w:lang w:val="en-GB"/>
        </w:rPr>
        <w:t>only one</w:t>
      </w:r>
      <w:r w:rsidR="00BE162B" w:rsidRPr="006314C9">
        <w:rPr>
          <w:lang w:val="en-GB"/>
        </w:rPr>
        <w:t xml:space="preserve"> person to oversee more than one Directive</w:t>
      </w:r>
      <w:r w:rsidRPr="006314C9">
        <w:rPr>
          <w:lang w:val="en-GB"/>
        </w:rPr>
        <w:t xml:space="preserve"> which by no means can follow the </w:t>
      </w:r>
      <w:r w:rsidR="00BE162B" w:rsidRPr="006314C9">
        <w:rPr>
          <w:lang w:val="en-GB"/>
        </w:rPr>
        <w:t xml:space="preserve">transposition/policy/implementation planning. Job descriptions are very general and do not point to the exact duties of the staff regarding the requirements of these Directives. </w:t>
      </w:r>
      <w:r w:rsidRPr="006314C9">
        <w:rPr>
          <w:lang w:val="en-GB"/>
        </w:rPr>
        <w:t xml:space="preserve">In this situation, and considering the importance of water </w:t>
      </w:r>
      <w:r w:rsidR="00973554" w:rsidRPr="006314C9">
        <w:rPr>
          <w:lang w:val="en-GB"/>
        </w:rPr>
        <w:t xml:space="preserve">subsector </w:t>
      </w:r>
      <w:r w:rsidRPr="006314C9">
        <w:rPr>
          <w:lang w:val="en-GB"/>
        </w:rPr>
        <w:t>in EU negotiations for Chapter 27 responsible m</w:t>
      </w:r>
      <w:r w:rsidR="00BE162B" w:rsidRPr="006314C9">
        <w:rPr>
          <w:lang w:val="en-GB"/>
        </w:rPr>
        <w:t>inistries</w:t>
      </w:r>
      <w:r w:rsidRPr="006314C9">
        <w:rPr>
          <w:lang w:val="en-GB"/>
        </w:rPr>
        <w:t xml:space="preserve"> and other public bodies (competent authorities in Albania)</w:t>
      </w:r>
      <w:r w:rsidR="00BE162B" w:rsidRPr="006314C9">
        <w:rPr>
          <w:lang w:val="en-GB"/>
        </w:rPr>
        <w:t xml:space="preserve"> </w:t>
      </w:r>
      <w:proofErr w:type="spellStart"/>
      <w:r w:rsidR="00BE162B" w:rsidRPr="006314C9">
        <w:rPr>
          <w:lang w:val="en-GB"/>
        </w:rPr>
        <w:t>need</w:t>
      </w:r>
      <w:r w:rsidRPr="006314C9">
        <w:rPr>
          <w:lang w:val="en-GB"/>
        </w:rPr>
        <w:t>significantly</w:t>
      </w:r>
      <w:proofErr w:type="spellEnd"/>
      <w:r w:rsidR="00BE162B" w:rsidRPr="006314C9">
        <w:rPr>
          <w:lang w:val="en-GB"/>
        </w:rPr>
        <w:t xml:space="preserve"> more staff </w:t>
      </w:r>
      <w:r w:rsidRPr="006314C9">
        <w:rPr>
          <w:lang w:val="en-GB"/>
        </w:rPr>
        <w:t xml:space="preserve">to be engaged </w:t>
      </w:r>
      <w:r w:rsidR="00BE162B" w:rsidRPr="006314C9">
        <w:rPr>
          <w:lang w:val="en-GB"/>
        </w:rPr>
        <w:t xml:space="preserve">in the water sector, </w:t>
      </w:r>
      <w:r w:rsidRPr="006314C9">
        <w:rPr>
          <w:lang w:val="en-GB"/>
        </w:rPr>
        <w:t xml:space="preserve">including </w:t>
      </w:r>
      <w:r w:rsidR="00BE162B" w:rsidRPr="006314C9">
        <w:rPr>
          <w:lang w:val="en-GB"/>
        </w:rPr>
        <w:t xml:space="preserve">capacity building and clear job description for the people in charge of water issues. </w:t>
      </w:r>
    </w:p>
    <w:p w:rsidR="00EC7EC7" w:rsidRPr="006314C9" w:rsidRDefault="00EC7EC7" w:rsidP="006E3522">
      <w:pPr>
        <w:rPr>
          <w:lang w:val="en-GB"/>
        </w:rPr>
      </w:pPr>
      <w:r w:rsidRPr="006314C9">
        <w:rPr>
          <w:lang w:val="en-GB"/>
        </w:rPr>
        <w:t xml:space="preserve">As per above, the competencies in the water sector are </w:t>
      </w:r>
      <w:r w:rsidR="00973554" w:rsidRPr="006314C9">
        <w:rPr>
          <w:lang w:val="en-GB"/>
        </w:rPr>
        <w:t>distributed among</w:t>
      </w:r>
      <w:r w:rsidRPr="006314C9">
        <w:rPr>
          <w:lang w:val="en-GB"/>
        </w:rPr>
        <w:t xml:space="preserve"> different competent </w:t>
      </w:r>
      <w:proofErr w:type="spellStart"/>
      <w:r w:rsidRPr="006314C9">
        <w:rPr>
          <w:lang w:val="en-GB"/>
        </w:rPr>
        <w:t>authorities</w:t>
      </w:r>
      <w:r w:rsidR="00973554" w:rsidRPr="006314C9">
        <w:rPr>
          <w:lang w:val="en-GB"/>
        </w:rPr>
        <w:t>and</w:t>
      </w:r>
      <w:r w:rsidRPr="006314C9">
        <w:rPr>
          <w:lang w:val="en-GB"/>
        </w:rPr>
        <w:t>collaboration</w:t>
      </w:r>
      <w:proofErr w:type="spellEnd"/>
      <w:r w:rsidRPr="006314C9">
        <w:rPr>
          <w:lang w:val="en-GB"/>
        </w:rPr>
        <w:t xml:space="preserve"> and close coordination among them is necessary. This is partly achieved with the National Water </w:t>
      </w:r>
      <w:proofErr w:type="gramStart"/>
      <w:r w:rsidRPr="006314C9">
        <w:rPr>
          <w:lang w:val="en-GB"/>
        </w:rPr>
        <w:t>Council,</w:t>
      </w:r>
      <w:proofErr w:type="gramEnd"/>
      <w:r w:rsidRPr="006314C9">
        <w:rPr>
          <w:lang w:val="en-GB"/>
        </w:rPr>
        <w:t xml:space="preserve"> however it is far from the real need for coordination in this subchapter. Considering that the main policy CA is the Agency on Water Resource Management, there is a need this agency to take the lead and manage the whole water subchapter. </w:t>
      </w:r>
      <w:r w:rsidR="00973554" w:rsidRPr="006314C9">
        <w:rPr>
          <w:lang w:val="en-GB"/>
        </w:rPr>
        <w:t xml:space="preserve">This leading </w:t>
      </w:r>
      <w:proofErr w:type="spellStart"/>
      <w:r w:rsidR="00973554" w:rsidRPr="006314C9">
        <w:rPr>
          <w:lang w:val="en-GB"/>
        </w:rPr>
        <w:t>competencyis</w:t>
      </w:r>
      <w:r w:rsidRPr="006314C9">
        <w:rPr>
          <w:lang w:val="en-GB"/>
        </w:rPr>
        <w:t>very</w:t>
      </w:r>
      <w:proofErr w:type="spellEnd"/>
      <w:r w:rsidRPr="006314C9">
        <w:rPr>
          <w:lang w:val="en-GB"/>
        </w:rPr>
        <w:t xml:space="preserve"> important during the EU negotiations as any lack of coordination may have impact of the negotiations dynamic. </w:t>
      </w:r>
    </w:p>
    <w:p w:rsidR="00BE162B" w:rsidRPr="006314C9" w:rsidRDefault="00BE162B" w:rsidP="00152F5E">
      <w:pPr>
        <w:rPr>
          <w:rFonts w:cs="Times New Roman"/>
          <w:lang w:val="en-GB"/>
        </w:rPr>
      </w:pPr>
      <w:r w:rsidRPr="006314C9">
        <w:rPr>
          <w:rFonts w:cs="Times New Roman"/>
          <w:b/>
          <w:lang w:val="en-GB"/>
        </w:rPr>
        <w:t xml:space="preserve">Summary </w:t>
      </w:r>
    </w:p>
    <w:tbl>
      <w:tblPr>
        <w:tblStyle w:val="TableGrid"/>
        <w:tblW w:w="5000" w:type="pct"/>
        <w:tblLayout w:type="fixed"/>
        <w:tblLook w:val="04A0"/>
      </w:tblPr>
      <w:tblGrid>
        <w:gridCol w:w="2393"/>
        <w:gridCol w:w="2395"/>
        <w:gridCol w:w="2393"/>
        <w:gridCol w:w="2395"/>
      </w:tblGrid>
      <w:tr w:rsidR="002B3060" w:rsidRPr="006314C9" w:rsidTr="00D9655E">
        <w:tc>
          <w:tcPr>
            <w:tcW w:w="2393" w:type="dxa"/>
            <w:vAlign w:val="center"/>
          </w:tcPr>
          <w:p w:rsidR="00590337" w:rsidRPr="006314C9" w:rsidRDefault="002F0A16">
            <w:pPr>
              <w:contextualSpacing/>
              <w:jc w:val="center"/>
              <w:rPr>
                <w:rFonts w:cs="Times New Roman"/>
                <w:sz w:val="20"/>
                <w:szCs w:val="20"/>
                <w:lang w:val="en-GB"/>
              </w:rPr>
            </w:pPr>
            <w:r w:rsidRPr="006314C9">
              <w:rPr>
                <w:rFonts w:cs="Times New Roman"/>
                <w:b/>
                <w:sz w:val="20"/>
                <w:szCs w:val="20"/>
                <w:lang w:val="en-GB"/>
              </w:rPr>
              <w:t>Directive/regulation</w:t>
            </w:r>
          </w:p>
        </w:tc>
        <w:tc>
          <w:tcPr>
            <w:tcW w:w="2395" w:type="dxa"/>
            <w:vAlign w:val="center"/>
          </w:tcPr>
          <w:p w:rsidR="00590337" w:rsidRPr="006314C9" w:rsidRDefault="002F0A16">
            <w:pPr>
              <w:contextualSpacing/>
              <w:jc w:val="center"/>
              <w:rPr>
                <w:rFonts w:cs="Times New Roman"/>
                <w:sz w:val="20"/>
                <w:szCs w:val="20"/>
                <w:lang w:val="en-GB"/>
              </w:rPr>
            </w:pPr>
            <w:r w:rsidRPr="006314C9">
              <w:rPr>
                <w:rFonts w:cs="Times New Roman"/>
                <w:b/>
                <w:sz w:val="20"/>
                <w:szCs w:val="20"/>
                <w:lang w:val="en-GB"/>
              </w:rPr>
              <w:t>Main competent authority</w:t>
            </w:r>
          </w:p>
        </w:tc>
        <w:tc>
          <w:tcPr>
            <w:tcW w:w="2393" w:type="dxa"/>
            <w:vAlign w:val="center"/>
          </w:tcPr>
          <w:p w:rsidR="00590337" w:rsidRPr="006314C9" w:rsidRDefault="002F0A16">
            <w:pPr>
              <w:contextualSpacing/>
              <w:jc w:val="center"/>
              <w:rPr>
                <w:rFonts w:cs="Times New Roman"/>
                <w:b/>
                <w:sz w:val="20"/>
                <w:szCs w:val="20"/>
                <w:lang w:val="en-GB"/>
              </w:rPr>
            </w:pPr>
            <w:r w:rsidRPr="006314C9">
              <w:rPr>
                <w:rFonts w:cs="Times New Roman"/>
                <w:b/>
                <w:sz w:val="20"/>
                <w:szCs w:val="20"/>
                <w:lang w:val="en-GB"/>
              </w:rPr>
              <w:t>Level of transposition</w:t>
            </w:r>
          </w:p>
        </w:tc>
        <w:tc>
          <w:tcPr>
            <w:tcW w:w="2395" w:type="dxa"/>
            <w:vAlign w:val="center"/>
          </w:tcPr>
          <w:p w:rsidR="00590337" w:rsidRPr="006314C9" w:rsidRDefault="002F0A16">
            <w:pPr>
              <w:contextualSpacing/>
              <w:jc w:val="center"/>
              <w:rPr>
                <w:rFonts w:cs="Times New Roman"/>
                <w:b/>
                <w:sz w:val="20"/>
                <w:szCs w:val="20"/>
                <w:lang w:val="en-GB"/>
              </w:rPr>
            </w:pPr>
            <w:r w:rsidRPr="006314C9">
              <w:rPr>
                <w:rFonts w:cs="Times New Roman"/>
                <w:b/>
                <w:sz w:val="20"/>
                <w:szCs w:val="20"/>
                <w:lang w:val="en-GB"/>
              </w:rPr>
              <w:t>Level of implementation</w:t>
            </w:r>
          </w:p>
        </w:tc>
      </w:tr>
      <w:tr w:rsidR="00BE162B" w:rsidRPr="006314C9" w:rsidTr="00D9655E">
        <w:tc>
          <w:tcPr>
            <w:tcW w:w="2393" w:type="dxa"/>
          </w:tcPr>
          <w:p w:rsidR="00590337" w:rsidRPr="006314C9" w:rsidRDefault="00B95D6A" w:rsidP="00C427D3">
            <w:pPr>
              <w:tabs>
                <w:tab w:val="left" w:pos="0"/>
              </w:tabs>
              <w:jc w:val="left"/>
              <w:rPr>
                <w:rFonts w:cs="Times New Roman"/>
                <w:sz w:val="20"/>
                <w:szCs w:val="20"/>
                <w:lang w:val="en-GB"/>
              </w:rPr>
            </w:pPr>
            <w:r w:rsidRPr="006314C9">
              <w:rPr>
                <w:rFonts w:cs="Times New Roman"/>
                <w:sz w:val="20"/>
                <w:szCs w:val="20"/>
                <w:lang w:val="en-GB"/>
              </w:rPr>
              <w:t xml:space="preserve">2000/60 /EC </w:t>
            </w:r>
            <w:r w:rsidRPr="006314C9">
              <w:rPr>
                <w:rFonts w:cs="Times New Roman"/>
                <w:b/>
                <w:i/>
                <w:sz w:val="20"/>
                <w:szCs w:val="20"/>
                <w:lang w:val="en-GB"/>
              </w:rPr>
              <w:t xml:space="preserve">Water </w:t>
            </w:r>
            <w:r w:rsidRPr="006314C9">
              <w:rPr>
                <w:rFonts w:cs="Times New Roman"/>
                <w:b/>
                <w:sz w:val="20"/>
                <w:szCs w:val="20"/>
                <w:lang w:val="en-GB"/>
              </w:rPr>
              <w:t>Framework</w:t>
            </w:r>
          </w:p>
        </w:tc>
        <w:tc>
          <w:tcPr>
            <w:tcW w:w="2395" w:type="dxa"/>
          </w:tcPr>
          <w:p w:rsidR="00BE162B" w:rsidRPr="006314C9" w:rsidRDefault="00B95D6A" w:rsidP="002B3060">
            <w:pPr>
              <w:contextualSpacing/>
              <w:jc w:val="left"/>
              <w:rPr>
                <w:rFonts w:cs="Times New Roman"/>
                <w:sz w:val="20"/>
                <w:szCs w:val="20"/>
                <w:lang w:val="en-GB"/>
              </w:rPr>
            </w:pPr>
            <w:r w:rsidRPr="006314C9">
              <w:rPr>
                <w:rFonts w:cs="Times New Roman"/>
                <w:sz w:val="20"/>
                <w:szCs w:val="20"/>
                <w:lang w:val="en-GB"/>
              </w:rPr>
              <w:t xml:space="preserve">Agency on Water Resource Management </w:t>
            </w:r>
          </w:p>
          <w:p w:rsidR="00BE162B" w:rsidRPr="006314C9" w:rsidRDefault="00B95D6A" w:rsidP="000340FB">
            <w:pPr>
              <w:contextualSpacing/>
              <w:jc w:val="left"/>
              <w:rPr>
                <w:rFonts w:cs="Times New Roman"/>
                <w:sz w:val="20"/>
                <w:szCs w:val="20"/>
                <w:lang w:val="en-GB"/>
              </w:rPr>
            </w:pPr>
            <w:r w:rsidRPr="006314C9">
              <w:rPr>
                <w:rFonts w:cs="Times New Roman"/>
                <w:sz w:val="20"/>
                <w:szCs w:val="20"/>
                <w:lang w:val="en-GB"/>
              </w:rPr>
              <w:t xml:space="preserve">(AMBU) </w:t>
            </w:r>
          </w:p>
        </w:tc>
        <w:tc>
          <w:tcPr>
            <w:tcW w:w="2393" w:type="dxa"/>
          </w:tcPr>
          <w:p w:rsidR="00BE162B" w:rsidRPr="006314C9" w:rsidRDefault="00B95D6A" w:rsidP="002B3060">
            <w:pPr>
              <w:contextualSpacing/>
              <w:jc w:val="left"/>
              <w:rPr>
                <w:rFonts w:cs="Times New Roman"/>
                <w:sz w:val="20"/>
                <w:szCs w:val="20"/>
                <w:lang w:val="en-GB"/>
              </w:rPr>
            </w:pPr>
            <w:r w:rsidRPr="006314C9">
              <w:rPr>
                <w:rFonts w:cs="Times New Roman"/>
                <w:sz w:val="20"/>
                <w:szCs w:val="20"/>
                <w:lang w:val="en-GB"/>
              </w:rPr>
              <w:t>Partially</w:t>
            </w:r>
          </w:p>
          <w:p w:rsidR="00BE162B" w:rsidRPr="006314C9" w:rsidRDefault="00B95D6A" w:rsidP="002B3060">
            <w:pPr>
              <w:contextualSpacing/>
              <w:jc w:val="left"/>
              <w:rPr>
                <w:rFonts w:cs="Times New Roman"/>
                <w:sz w:val="20"/>
                <w:szCs w:val="20"/>
                <w:lang w:val="en-GB"/>
              </w:rPr>
            </w:pPr>
            <w:r w:rsidRPr="006314C9">
              <w:rPr>
                <w:rFonts w:cs="Times New Roman"/>
                <w:sz w:val="20"/>
                <w:szCs w:val="20"/>
                <w:lang w:val="en-GB"/>
              </w:rPr>
              <w:t xml:space="preserve">41% </w:t>
            </w:r>
          </w:p>
        </w:tc>
        <w:tc>
          <w:tcPr>
            <w:tcW w:w="2395" w:type="dxa"/>
          </w:tcPr>
          <w:p w:rsidR="00BE162B" w:rsidRPr="006314C9" w:rsidRDefault="00B95D6A" w:rsidP="002B3060">
            <w:pPr>
              <w:contextualSpacing/>
              <w:jc w:val="left"/>
              <w:rPr>
                <w:rFonts w:cs="Times New Roman"/>
                <w:sz w:val="20"/>
                <w:szCs w:val="20"/>
                <w:lang w:val="en-GB"/>
              </w:rPr>
            </w:pPr>
            <w:r w:rsidRPr="006314C9">
              <w:rPr>
                <w:rFonts w:cs="Times New Roman"/>
                <w:sz w:val="20"/>
                <w:szCs w:val="20"/>
                <w:lang w:val="en-GB"/>
              </w:rPr>
              <w:t>Partially implemented</w:t>
            </w:r>
          </w:p>
        </w:tc>
      </w:tr>
      <w:tr w:rsidR="00D9655E" w:rsidRPr="006314C9" w:rsidTr="00D9655E">
        <w:tc>
          <w:tcPr>
            <w:tcW w:w="2393" w:type="dxa"/>
          </w:tcPr>
          <w:p w:rsidR="00D9655E" w:rsidRPr="006314C9" w:rsidDel="00C427D3" w:rsidRDefault="00D9655E" w:rsidP="00C427D3">
            <w:pPr>
              <w:contextualSpacing/>
              <w:jc w:val="left"/>
              <w:rPr>
                <w:rFonts w:cs="Times New Roman"/>
                <w:sz w:val="20"/>
                <w:szCs w:val="20"/>
                <w:lang w:val="en-GB"/>
              </w:rPr>
            </w:pPr>
            <w:r w:rsidRPr="006314C9">
              <w:rPr>
                <w:rFonts w:cs="Times New Roman"/>
                <w:sz w:val="20"/>
                <w:szCs w:val="20"/>
                <w:lang w:val="en-GB"/>
              </w:rPr>
              <w:t xml:space="preserve">91/271/EEC </w:t>
            </w:r>
            <w:r w:rsidR="00B95D6A" w:rsidRPr="006314C9">
              <w:rPr>
                <w:rFonts w:cs="Times New Roman"/>
                <w:b/>
                <w:i/>
                <w:sz w:val="20"/>
                <w:szCs w:val="20"/>
                <w:lang w:val="en-GB"/>
              </w:rPr>
              <w:t>UWWT</w:t>
            </w:r>
          </w:p>
        </w:tc>
        <w:tc>
          <w:tcPr>
            <w:tcW w:w="2395" w:type="dxa"/>
          </w:tcPr>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MIE</w:t>
            </w:r>
            <w:r w:rsidR="00D35EB7" w:rsidRPr="006314C9">
              <w:rPr>
                <w:rFonts w:cs="Times New Roman"/>
                <w:sz w:val="20"/>
                <w:szCs w:val="20"/>
                <w:lang w:val="en-GB"/>
              </w:rPr>
              <w:t xml:space="preserve"> (to clarify with AMBU who will have policy making competencies) </w:t>
            </w:r>
          </w:p>
        </w:tc>
        <w:tc>
          <w:tcPr>
            <w:tcW w:w="2393" w:type="dxa"/>
          </w:tcPr>
          <w:p w:rsidR="00D9655E" w:rsidRPr="006314C9" w:rsidRDefault="00D9655E" w:rsidP="001970C3">
            <w:pPr>
              <w:contextualSpacing/>
              <w:jc w:val="left"/>
              <w:rPr>
                <w:rFonts w:cs="Times New Roman"/>
                <w:sz w:val="20"/>
                <w:szCs w:val="20"/>
                <w:lang w:val="en-GB"/>
              </w:rPr>
            </w:pPr>
            <w:r w:rsidRPr="006314C9">
              <w:rPr>
                <w:rFonts w:cs="Times New Roman"/>
                <w:sz w:val="20"/>
                <w:szCs w:val="20"/>
                <w:lang w:val="en-GB"/>
              </w:rPr>
              <w:t>Partially;</w:t>
            </w:r>
          </w:p>
          <w:p w:rsidR="00D9655E" w:rsidRPr="006314C9" w:rsidRDefault="00D9655E" w:rsidP="002B3060">
            <w:pPr>
              <w:contextualSpacing/>
              <w:jc w:val="left"/>
              <w:rPr>
                <w:rFonts w:cs="Times New Roman"/>
                <w:sz w:val="20"/>
                <w:szCs w:val="20"/>
                <w:lang w:val="en-GB"/>
              </w:rPr>
            </w:pPr>
            <w:r w:rsidRPr="006314C9">
              <w:rPr>
                <w:rFonts w:cs="Times New Roman"/>
                <w:sz w:val="20"/>
                <w:szCs w:val="20"/>
                <w:lang w:val="en-GB"/>
              </w:rPr>
              <w:t xml:space="preserve">66 % </w:t>
            </w:r>
          </w:p>
        </w:tc>
        <w:tc>
          <w:tcPr>
            <w:tcW w:w="2395" w:type="dxa"/>
          </w:tcPr>
          <w:p w:rsidR="00D9655E" w:rsidRPr="006314C9" w:rsidRDefault="008D0E4D" w:rsidP="002B3060">
            <w:pPr>
              <w:contextualSpacing/>
              <w:jc w:val="left"/>
              <w:rPr>
                <w:rFonts w:cs="Times New Roman"/>
                <w:sz w:val="20"/>
                <w:szCs w:val="20"/>
                <w:lang w:val="en-GB"/>
              </w:rPr>
            </w:pPr>
            <w:r w:rsidRPr="006314C9">
              <w:rPr>
                <w:rFonts w:cs="Times New Roman"/>
                <w:sz w:val="20"/>
                <w:szCs w:val="20"/>
                <w:lang w:val="en-GB"/>
              </w:rPr>
              <w:t>Partly implemented</w:t>
            </w:r>
          </w:p>
        </w:tc>
      </w:tr>
      <w:tr w:rsidR="00D9655E" w:rsidRPr="006314C9" w:rsidTr="00D9655E">
        <w:tc>
          <w:tcPr>
            <w:tcW w:w="2393" w:type="dxa"/>
          </w:tcPr>
          <w:p w:rsidR="00D9655E" w:rsidRPr="006314C9" w:rsidRDefault="00B95D6A" w:rsidP="001970C3">
            <w:pPr>
              <w:contextualSpacing/>
              <w:jc w:val="left"/>
              <w:rPr>
                <w:rFonts w:cs="Times New Roman"/>
                <w:i/>
                <w:sz w:val="20"/>
                <w:szCs w:val="20"/>
                <w:lang w:val="en-GB"/>
              </w:rPr>
            </w:pPr>
            <w:r w:rsidRPr="006314C9">
              <w:rPr>
                <w:rFonts w:cs="Times New Roman"/>
                <w:sz w:val="20"/>
                <w:szCs w:val="20"/>
                <w:lang w:val="en-GB"/>
              </w:rPr>
              <w:t xml:space="preserve">2008/56/EC </w:t>
            </w:r>
            <w:r w:rsidRPr="006314C9">
              <w:rPr>
                <w:rFonts w:cs="Times New Roman"/>
                <w:b/>
                <w:i/>
                <w:sz w:val="20"/>
                <w:szCs w:val="20"/>
                <w:lang w:val="en-GB"/>
              </w:rPr>
              <w:t xml:space="preserve">Marine Strategy </w:t>
            </w:r>
          </w:p>
          <w:p w:rsidR="00D9655E" w:rsidRPr="006314C9" w:rsidDel="00C427D3" w:rsidRDefault="00D9655E" w:rsidP="00C427D3">
            <w:pPr>
              <w:contextualSpacing/>
              <w:jc w:val="left"/>
              <w:rPr>
                <w:rFonts w:cs="Times New Roman"/>
                <w:sz w:val="20"/>
                <w:szCs w:val="20"/>
                <w:lang w:val="en-GB"/>
              </w:rPr>
            </w:pPr>
          </w:p>
        </w:tc>
        <w:tc>
          <w:tcPr>
            <w:tcW w:w="2395" w:type="dxa"/>
          </w:tcPr>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AMBU</w:t>
            </w:r>
          </w:p>
        </w:tc>
        <w:tc>
          <w:tcPr>
            <w:tcW w:w="2393" w:type="dxa"/>
          </w:tcPr>
          <w:p w:rsidR="00D9655E" w:rsidRPr="006314C9" w:rsidRDefault="00B95D6A" w:rsidP="001970C3">
            <w:pPr>
              <w:contextualSpacing/>
              <w:jc w:val="left"/>
              <w:rPr>
                <w:rFonts w:cs="Times New Roman"/>
                <w:sz w:val="20"/>
                <w:szCs w:val="20"/>
                <w:lang w:val="en-GB"/>
              </w:rPr>
            </w:pPr>
            <w:r w:rsidRPr="006314C9">
              <w:rPr>
                <w:rFonts w:cs="Times New Roman"/>
                <w:sz w:val="20"/>
                <w:szCs w:val="20"/>
                <w:lang w:val="en-GB"/>
              </w:rPr>
              <w:t>Not transposed;</w:t>
            </w:r>
          </w:p>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 xml:space="preserve">0% </w:t>
            </w:r>
          </w:p>
        </w:tc>
        <w:tc>
          <w:tcPr>
            <w:tcW w:w="2395" w:type="dxa"/>
          </w:tcPr>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Initial stage</w:t>
            </w:r>
          </w:p>
        </w:tc>
      </w:tr>
      <w:tr w:rsidR="00EA3454" w:rsidRPr="006314C9" w:rsidTr="00EA12A1">
        <w:tc>
          <w:tcPr>
            <w:tcW w:w="2393" w:type="dxa"/>
            <w:vAlign w:val="center"/>
          </w:tcPr>
          <w:p w:rsidR="00694EE8" w:rsidRPr="006314C9" w:rsidRDefault="00694EE8">
            <w:pPr>
              <w:spacing w:before="0"/>
              <w:contextualSpacing/>
              <w:jc w:val="left"/>
              <w:rPr>
                <w:rFonts w:cs="Times New Roman"/>
                <w:sz w:val="20"/>
                <w:szCs w:val="20"/>
                <w:lang w:val="en-GB"/>
              </w:rPr>
            </w:pPr>
            <w:r w:rsidRPr="006314C9">
              <w:rPr>
                <w:rFonts w:cs="Times New Roman"/>
                <w:sz w:val="20"/>
                <w:szCs w:val="20"/>
                <w:lang w:val="en-GB"/>
              </w:rPr>
              <w:t xml:space="preserve">Decision </w:t>
            </w:r>
            <w:r w:rsidR="00B95D6A" w:rsidRPr="006314C9">
              <w:rPr>
                <w:rFonts w:cs="Times New Roman"/>
                <w:sz w:val="20"/>
                <w:szCs w:val="20"/>
                <w:lang w:val="en-GB"/>
              </w:rPr>
              <w:t xml:space="preserve">2010/477/EU/EU </w:t>
            </w:r>
            <w:r w:rsidR="00B95D6A" w:rsidRPr="006314C9">
              <w:rPr>
                <w:rFonts w:cs="Times New Roman"/>
                <w:b/>
                <w:i/>
                <w:sz w:val="20"/>
                <w:szCs w:val="20"/>
                <w:lang w:val="en-GB"/>
              </w:rPr>
              <w:t xml:space="preserve">Standards on good </w:t>
            </w:r>
            <w:r w:rsidR="00B95D6A" w:rsidRPr="006314C9">
              <w:rPr>
                <w:rFonts w:cs="Times New Roman"/>
                <w:b/>
                <w:i/>
                <w:sz w:val="20"/>
                <w:szCs w:val="20"/>
                <w:lang w:val="en-GB"/>
              </w:rPr>
              <w:lastRenderedPageBreak/>
              <w:t xml:space="preserve">environmental </w:t>
            </w:r>
            <w:proofErr w:type="spellStart"/>
            <w:r w:rsidR="00B95D6A" w:rsidRPr="006314C9">
              <w:rPr>
                <w:rFonts w:cs="Times New Roman"/>
                <w:b/>
                <w:i/>
                <w:sz w:val="20"/>
                <w:szCs w:val="20"/>
                <w:lang w:val="en-GB"/>
              </w:rPr>
              <w:t>statuson</w:t>
            </w:r>
            <w:proofErr w:type="spellEnd"/>
            <w:r w:rsidR="00B95D6A" w:rsidRPr="006314C9">
              <w:rPr>
                <w:rFonts w:cs="Times New Roman"/>
                <w:b/>
                <w:i/>
                <w:sz w:val="20"/>
                <w:szCs w:val="20"/>
                <w:lang w:val="en-GB"/>
              </w:rPr>
              <w:t xml:space="preserve"> marine waters</w:t>
            </w:r>
          </w:p>
        </w:tc>
        <w:tc>
          <w:tcPr>
            <w:tcW w:w="2395" w:type="dxa"/>
            <w:vAlign w:val="center"/>
          </w:tcPr>
          <w:p w:rsidR="00694EE8" w:rsidRPr="006314C9" w:rsidRDefault="00B95D6A">
            <w:pPr>
              <w:spacing w:before="0"/>
              <w:contextualSpacing/>
              <w:jc w:val="left"/>
              <w:rPr>
                <w:rFonts w:cs="Times New Roman"/>
                <w:sz w:val="20"/>
                <w:szCs w:val="20"/>
                <w:lang w:val="en-GB"/>
              </w:rPr>
            </w:pPr>
            <w:r w:rsidRPr="006314C9">
              <w:rPr>
                <w:rFonts w:cs="Times New Roman"/>
                <w:sz w:val="20"/>
                <w:szCs w:val="20"/>
                <w:lang w:val="en-GB"/>
              </w:rPr>
              <w:lastRenderedPageBreak/>
              <w:t>AMBU</w:t>
            </w:r>
          </w:p>
        </w:tc>
        <w:tc>
          <w:tcPr>
            <w:tcW w:w="2393" w:type="dxa"/>
          </w:tcPr>
          <w:p w:rsidR="00694EE8" w:rsidRPr="006314C9" w:rsidRDefault="00EA3454">
            <w:pPr>
              <w:spacing w:before="0"/>
              <w:contextualSpacing/>
              <w:jc w:val="left"/>
              <w:rPr>
                <w:rFonts w:cs="Times New Roman"/>
                <w:sz w:val="20"/>
                <w:szCs w:val="20"/>
                <w:lang w:val="en-GB"/>
              </w:rPr>
            </w:pPr>
            <w:r w:rsidRPr="006314C9">
              <w:rPr>
                <w:rFonts w:cs="Times New Roman"/>
                <w:sz w:val="20"/>
                <w:szCs w:val="20"/>
                <w:lang w:val="en-GB"/>
              </w:rPr>
              <w:t>Not transposed;</w:t>
            </w:r>
          </w:p>
          <w:p w:rsidR="00694EE8" w:rsidRPr="006314C9" w:rsidRDefault="00EA3454">
            <w:pPr>
              <w:spacing w:before="0"/>
              <w:contextualSpacing/>
              <w:jc w:val="left"/>
              <w:rPr>
                <w:rFonts w:cs="Times New Roman"/>
                <w:sz w:val="20"/>
                <w:szCs w:val="20"/>
                <w:lang w:val="en-GB"/>
              </w:rPr>
            </w:pPr>
            <w:r w:rsidRPr="006314C9">
              <w:rPr>
                <w:rFonts w:cs="Times New Roman"/>
                <w:sz w:val="20"/>
                <w:szCs w:val="20"/>
                <w:lang w:val="en-GB"/>
              </w:rPr>
              <w:t xml:space="preserve">0% </w:t>
            </w:r>
          </w:p>
        </w:tc>
        <w:tc>
          <w:tcPr>
            <w:tcW w:w="2395" w:type="dxa"/>
          </w:tcPr>
          <w:p w:rsidR="00694EE8" w:rsidRPr="006314C9" w:rsidRDefault="00EA3454">
            <w:pPr>
              <w:spacing w:before="100" w:beforeAutospacing="1" w:after="100" w:afterAutospacing="1"/>
              <w:contextualSpacing/>
              <w:jc w:val="left"/>
              <w:rPr>
                <w:rFonts w:cs="Times New Roman"/>
                <w:sz w:val="20"/>
                <w:szCs w:val="20"/>
                <w:lang w:val="en-GB"/>
              </w:rPr>
            </w:pPr>
            <w:r w:rsidRPr="006314C9">
              <w:rPr>
                <w:rFonts w:cs="Times New Roman"/>
                <w:sz w:val="20"/>
                <w:szCs w:val="20"/>
                <w:lang w:val="en-GB"/>
              </w:rPr>
              <w:t>Initial stage</w:t>
            </w:r>
          </w:p>
        </w:tc>
      </w:tr>
      <w:tr w:rsidR="00D9655E" w:rsidRPr="006314C9" w:rsidTr="00D9655E">
        <w:tc>
          <w:tcPr>
            <w:tcW w:w="2393" w:type="dxa"/>
          </w:tcPr>
          <w:p w:rsidR="00694EE8" w:rsidRPr="006314C9" w:rsidRDefault="00B95D6A">
            <w:pPr>
              <w:spacing w:before="0"/>
              <w:contextualSpacing/>
              <w:jc w:val="left"/>
              <w:rPr>
                <w:rFonts w:cs="Times New Roman"/>
                <w:sz w:val="20"/>
                <w:szCs w:val="20"/>
                <w:lang w:val="en-GB"/>
              </w:rPr>
            </w:pPr>
            <w:r w:rsidRPr="006314C9">
              <w:rPr>
                <w:rFonts w:cs="Times New Roman"/>
                <w:sz w:val="20"/>
                <w:szCs w:val="20"/>
                <w:lang w:val="en-GB"/>
              </w:rPr>
              <w:lastRenderedPageBreak/>
              <w:t xml:space="preserve">98/83/EC </w:t>
            </w:r>
            <w:r w:rsidRPr="006314C9">
              <w:rPr>
                <w:rFonts w:cs="Times New Roman"/>
                <w:b/>
                <w:i/>
                <w:sz w:val="20"/>
                <w:szCs w:val="20"/>
                <w:lang w:val="en-GB"/>
              </w:rPr>
              <w:t>Drinking Water</w:t>
            </w:r>
          </w:p>
        </w:tc>
        <w:tc>
          <w:tcPr>
            <w:tcW w:w="2395" w:type="dxa"/>
          </w:tcPr>
          <w:p w:rsidR="00D9655E" w:rsidRPr="006314C9" w:rsidRDefault="00B95D6A" w:rsidP="00D35EB7">
            <w:pPr>
              <w:contextualSpacing/>
              <w:jc w:val="left"/>
              <w:rPr>
                <w:rFonts w:cs="Times New Roman"/>
                <w:sz w:val="20"/>
                <w:szCs w:val="20"/>
                <w:u w:val="single"/>
                <w:lang w:val="en-GB"/>
              </w:rPr>
            </w:pPr>
            <w:r w:rsidRPr="006314C9">
              <w:rPr>
                <w:rFonts w:cs="Times New Roman"/>
                <w:sz w:val="20"/>
                <w:szCs w:val="20"/>
                <w:lang w:val="en-GB"/>
              </w:rPr>
              <w:t xml:space="preserve">Institute of Public Health (IPH) </w:t>
            </w:r>
            <w:r w:rsidR="00D35EB7" w:rsidRPr="006314C9">
              <w:rPr>
                <w:rFonts w:cs="Times New Roman"/>
                <w:sz w:val="20"/>
                <w:szCs w:val="20"/>
                <w:lang w:val="en-GB"/>
              </w:rPr>
              <w:t>(to clarify with MIE who will have policy making competencies)</w:t>
            </w:r>
          </w:p>
        </w:tc>
        <w:tc>
          <w:tcPr>
            <w:tcW w:w="2393" w:type="dxa"/>
          </w:tcPr>
          <w:p w:rsidR="00D9655E" w:rsidRPr="006314C9" w:rsidRDefault="00B95D6A" w:rsidP="001970C3">
            <w:pPr>
              <w:contextualSpacing/>
              <w:jc w:val="left"/>
              <w:rPr>
                <w:rFonts w:cs="Times New Roman"/>
                <w:sz w:val="20"/>
                <w:szCs w:val="20"/>
                <w:lang w:val="en-GB"/>
              </w:rPr>
            </w:pPr>
            <w:r w:rsidRPr="006314C9">
              <w:rPr>
                <w:rFonts w:cs="Times New Roman"/>
                <w:sz w:val="20"/>
                <w:szCs w:val="20"/>
                <w:lang w:val="en-GB"/>
              </w:rPr>
              <w:t>Fully transposed</w:t>
            </w:r>
          </w:p>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 xml:space="preserve">100% </w:t>
            </w:r>
          </w:p>
        </w:tc>
        <w:tc>
          <w:tcPr>
            <w:tcW w:w="2395" w:type="dxa"/>
          </w:tcPr>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Partially implemented</w:t>
            </w:r>
          </w:p>
        </w:tc>
      </w:tr>
      <w:tr w:rsidR="00D9655E" w:rsidRPr="006314C9" w:rsidTr="00D9655E">
        <w:tc>
          <w:tcPr>
            <w:tcW w:w="2393" w:type="dxa"/>
          </w:tcPr>
          <w:p w:rsidR="00D9655E" w:rsidRPr="006314C9" w:rsidRDefault="00B95D6A" w:rsidP="001970C3">
            <w:pPr>
              <w:contextualSpacing/>
              <w:jc w:val="left"/>
              <w:rPr>
                <w:rFonts w:cs="Times New Roman"/>
                <w:sz w:val="20"/>
                <w:szCs w:val="20"/>
                <w:lang w:val="en-GB"/>
              </w:rPr>
            </w:pPr>
            <w:r w:rsidRPr="006314C9">
              <w:rPr>
                <w:rFonts w:cs="Times New Roman"/>
                <w:sz w:val="20"/>
                <w:szCs w:val="20"/>
                <w:lang w:val="en-GB"/>
              </w:rPr>
              <w:t xml:space="preserve">91/676/EEC </w:t>
            </w:r>
            <w:r w:rsidRPr="006314C9">
              <w:rPr>
                <w:rFonts w:cs="Times New Roman"/>
                <w:b/>
                <w:i/>
                <w:sz w:val="20"/>
                <w:szCs w:val="20"/>
                <w:lang w:val="en-GB"/>
              </w:rPr>
              <w:t xml:space="preserve">Nitrates </w:t>
            </w:r>
          </w:p>
          <w:p w:rsidR="00D9655E" w:rsidRPr="006314C9" w:rsidDel="00C427D3" w:rsidRDefault="00D9655E" w:rsidP="00C427D3">
            <w:pPr>
              <w:contextualSpacing/>
              <w:jc w:val="left"/>
              <w:rPr>
                <w:rFonts w:cs="Times New Roman"/>
                <w:sz w:val="20"/>
                <w:szCs w:val="20"/>
                <w:lang w:val="en-GB"/>
              </w:rPr>
            </w:pPr>
          </w:p>
        </w:tc>
        <w:tc>
          <w:tcPr>
            <w:tcW w:w="2395" w:type="dxa"/>
          </w:tcPr>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 xml:space="preserve">MARD </w:t>
            </w:r>
          </w:p>
        </w:tc>
        <w:tc>
          <w:tcPr>
            <w:tcW w:w="2393" w:type="dxa"/>
          </w:tcPr>
          <w:p w:rsidR="00D9655E" w:rsidRPr="006314C9" w:rsidRDefault="00B95D6A" w:rsidP="001970C3">
            <w:pPr>
              <w:contextualSpacing/>
              <w:jc w:val="left"/>
              <w:rPr>
                <w:rFonts w:cs="Times New Roman"/>
                <w:sz w:val="20"/>
                <w:szCs w:val="20"/>
                <w:lang w:val="en-GB"/>
              </w:rPr>
            </w:pPr>
            <w:r w:rsidRPr="006314C9">
              <w:rPr>
                <w:rFonts w:cs="Times New Roman"/>
                <w:sz w:val="20"/>
                <w:szCs w:val="20"/>
                <w:lang w:val="en-GB"/>
              </w:rPr>
              <w:t>Initial stage;</w:t>
            </w:r>
          </w:p>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 xml:space="preserve">15% </w:t>
            </w:r>
          </w:p>
        </w:tc>
        <w:tc>
          <w:tcPr>
            <w:tcW w:w="2395" w:type="dxa"/>
          </w:tcPr>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Not implemented</w:t>
            </w:r>
          </w:p>
        </w:tc>
      </w:tr>
      <w:tr w:rsidR="00D9655E" w:rsidRPr="006314C9" w:rsidTr="00D9655E">
        <w:tc>
          <w:tcPr>
            <w:tcW w:w="2393" w:type="dxa"/>
          </w:tcPr>
          <w:p w:rsidR="00D9655E" w:rsidRPr="006314C9" w:rsidDel="00C427D3" w:rsidRDefault="00B95D6A" w:rsidP="00C427D3">
            <w:pPr>
              <w:contextualSpacing/>
              <w:jc w:val="left"/>
              <w:rPr>
                <w:rFonts w:cs="Times New Roman"/>
                <w:sz w:val="20"/>
                <w:szCs w:val="20"/>
                <w:lang w:val="en-GB"/>
              </w:rPr>
            </w:pPr>
            <w:r w:rsidRPr="006314C9">
              <w:rPr>
                <w:rFonts w:cs="Times New Roman"/>
                <w:sz w:val="20"/>
                <w:szCs w:val="20"/>
                <w:lang w:val="en-GB"/>
              </w:rPr>
              <w:t xml:space="preserve">2006/7/EC </w:t>
            </w:r>
            <w:r w:rsidRPr="006314C9">
              <w:rPr>
                <w:rFonts w:cs="Times New Roman"/>
                <w:b/>
                <w:i/>
                <w:sz w:val="20"/>
                <w:szCs w:val="20"/>
                <w:lang w:val="en-GB"/>
              </w:rPr>
              <w:t>Bathing Water</w:t>
            </w:r>
          </w:p>
        </w:tc>
        <w:tc>
          <w:tcPr>
            <w:tcW w:w="2395" w:type="dxa"/>
          </w:tcPr>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IPH</w:t>
            </w:r>
          </w:p>
        </w:tc>
        <w:tc>
          <w:tcPr>
            <w:tcW w:w="2393" w:type="dxa"/>
          </w:tcPr>
          <w:p w:rsidR="00D9655E" w:rsidRPr="006314C9" w:rsidRDefault="00B95D6A" w:rsidP="001970C3">
            <w:pPr>
              <w:contextualSpacing/>
              <w:jc w:val="left"/>
              <w:rPr>
                <w:rFonts w:cs="Times New Roman"/>
                <w:sz w:val="20"/>
                <w:szCs w:val="20"/>
                <w:lang w:val="en-GB"/>
              </w:rPr>
            </w:pPr>
            <w:r w:rsidRPr="006314C9">
              <w:rPr>
                <w:rFonts w:cs="Times New Roman"/>
                <w:sz w:val="20"/>
                <w:szCs w:val="20"/>
                <w:lang w:val="en-GB"/>
              </w:rPr>
              <w:t>Fully transposed;</w:t>
            </w:r>
          </w:p>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 xml:space="preserve">100% </w:t>
            </w:r>
          </w:p>
        </w:tc>
        <w:tc>
          <w:tcPr>
            <w:tcW w:w="2395" w:type="dxa"/>
          </w:tcPr>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Partially implemented</w:t>
            </w:r>
          </w:p>
        </w:tc>
      </w:tr>
      <w:tr w:rsidR="00D9655E" w:rsidRPr="006314C9" w:rsidTr="00D9655E">
        <w:tc>
          <w:tcPr>
            <w:tcW w:w="2393" w:type="dxa"/>
          </w:tcPr>
          <w:p w:rsidR="00D9655E" w:rsidRPr="006314C9" w:rsidDel="00C427D3" w:rsidRDefault="00B95D6A" w:rsidP="00C427D3">
            <w:pPr>
              <w:contextualSpacing/>
              <w:jc w:val="left"/>
              <w:rPr>
                <w:rFonts w:cs="Times New Roman"/>
                <w:sz w:val="20"/>
                <w:szCs w:val="20"/>
                <w:lang w:val="en-GB"/>
              </w:rPr>
            </w:pPr>
            <w:r w:rsidRPr="006314C9">
              <w:rPr>
                <w:rFonts w:cs="Times New Roman"/>
                <w:sz w:val="20"/>
                <w:szCs w:val="20"/>
                <w:lang w:val="en-GB"/>
              </w:rPr>
              <w:t xml:space="preserve">2006/118/EC </w:t>
            </w:r>
            <w:r w:rsidRPr="006314C9">
              <w:rPr>
                <w:rFonts w:cs="Times New Roman"/>
                <w:b/>
                <w:i/>
                <w:iCs/>
                <w:sz w:val="20"/>
                <w:szCs w:val="20"/>
                <w:lang w:val="en-GB"/>
              </w:rPr>
              <w:t>Groundwater</w:t>
            </w:r>
          </w:p>
        </w:tc>
        <w:tc>
          <w:tcPr>
            <w:tcW w:w="2395" w:type="dxa"/>
          </w:tcPr>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 xml:space="preserve">AMBU </w:t>
            </w:r>
          </w:p>
        </w:tc>
        <w:tc>
          <w:tcPr>
            <w:tcW w:w="2393" w:type="dxa"/>
          </w:tcPr>
          <w:p w:rsidR="00D9655E" w:rsidRPr="006314C9" w:rsidRDefault="00B95D6A" w:rsidP="001970C3">
            <w:pPr>
              <w:contextualSpacing/>
              <w:jc w:val="left"/>
              <w:rPr>
                <w:rFonts w:cs="Times New Roman"/>
                <w:sz w:val="20"/>
                <w:szCs w:val="20"/>
                <w:lang w:val="en-GB"/>
              </w:rPr>
            </w:pPr>
            <w:r w:rsidRPr="006314C9">
              <w:rPr>
                <w:rFonts w:cs="Times New Roman"/>
                <w:sz w:val="20"/>
                <w:szCs w:val="20"/>
                <w:lang w:val="en-GB"/>
              </w:rPr>
              <w:t>0%</w:t>
            </w:r>
          </w:p>
          <w:p w:rsidR="00D9655E" w:rsidRPr="006314C9" w:rsidRDefault="00D9655E" w:rsidP="002B3060">
            <w:pPr>
              <w:contextualSpacing/>
              <w:jc w:val="left"/>
              <w:rPr>
                <w:rFonts w:cs="Times New Roman"/>
                <w:sz w:val="20"/>
                <w:szCs w:val="20"/>
                <w:lang w:val="en-GB"/>
              </w:rPr>
            </w:pPr>
          </w:p>
        </w:tc>
        <w:tc>
          <w:tcPr>
            <w:tcW w:w="2395" w:type="dxa"/>
          </w:tcPr>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Initial stage</w:t>
            </w:r>
          </w:p>
        </w:tc>
      </w:tr>
      <w:tr w:rsidR="00D9655E" w:rsidRPr="006314C9" w:rsidTr="00D9655E">
        <w:tc>
          <w:tcPr>
            <w:tcW w:w="2393" w:type="dxa"/>
          </w:tcPr>
          <w:p w:rsidR="00D9655E" w:rsidRPr="006314C9" w:rsidRDefault="00B95D6A" w:rsidP="001970C3">
            <w:pPr>
              <w:contextualSpacing/>
              <w:jc w:val="left"/>
              <w:rPr>
                <w:rFonts w:cs="Times New Roman"/>
                <w:sz w:val="20"/>
                <w:szCs w:val="20"/>
                <w:lang w:val="en-GB"/>
              </w:rPr>
            </w:pPr>
            <w:r w:rsidRPr="006314C9">
              <w:rPr>
                <w:rFonts w:cs="Times New Roman"/>
                <w:sz w:val="20"/>
                <w:szCs w:val="20"/>
                <w:lang w:val="en-GB"/>
              </w:rPr>
              <w:t xml:space="preserve">2008/105/EC </w:t>
            </w:r>
            <w:r w:rsidRPr="006314C9">
              <w:rPr>
                <w:rFonts w:cs="Times New Roman"/>
                <w:b/>
                <w:i/>
                <w:sz w:val="20"/>
                <w:szCs w:val="20"/>
                <w:lang w:val="en-GB"/>
              </w:rPr>
              <w:t xml:space="preserve">Environmental Quality </w:t>
            </w:r>
            <w:r w:rsidR="008D0E4D" w:rsidRPr="006314C9">
              <w:rPr>
                <w:rFonts w:cs="Times New Roman"/>
                <w:b/>
                <w:i/>
                <w:sz w:val="20"/>
                <w:szCs w:val="20"/>
                <w:lang w:val="en-GB"/>
              </w:rPr>
              <w:t>Standards</w:t>
            </w:r>
            <w:r w:rsidRPr="006314C9">
              <w:rPr>
                <w:rFonts w:cs="Times New Roman"/>
                <w:b/>
                <w:i/>
                <w:sz w:val="20"/>
                <w:szCs w:val="20"/>
                <w:lang w:val="en-GB"/>
              </w:rPr>
              <w:t xml:space="preserve"> of Water</w:t>
            </w:r>
          </w:p>
          <w:p w:rsidR="00D9655E" w:rsidRPr="006314C9" w:rsidDel="00C427D3" w:rsidRDefault="00D9655E" w:rsidP="00C427D3">
            <w:pPr>
              <w:contextualSpacing/>
              <w:jc w:val="left"/>
              <w:rPr>
                <w:rFonts w:cs="Times New Roman"/>
                <w:sz w:val="20"/>
                <w:szCs w:val="20"/>
                <w:lang w:val="en-GB"/>
              </w:rPr>
            </w:pPr>
          </w:p>
        </w:tc>
        <w:tc>
          <w:tcPr>
            <w:tcW w:w="2395" w:type="dxa"/>
          </w:tcPr>
          <w:p w:rsidR="00D9655E" w:rsidRPr="006314C9" w:rsidRDefault="00B95D6A" w:rsidP="001970C3">
            <w:pPr>
              <w:contextualSpacing/>
              <w:jc w:val="left"/>
              <w:rPr>
                <w:rFonts w:cs="Times New Roman"/>
                <w:sz w:val="20"/>
                <w:szCs w:val="20"/>
                <w:lang w:val="en-GB"/>
              </w:rPr>
            </w:pPr>
            <w:r w:rsidRPr="006314C9">
              <w:rPr>
                <w:rFonts w:cs="Times New Roman"/>
                <w:sz w:val="20"/>
                <w:szCs w:val="20"/>
                <w:lang w:val="en-GB"/>
              </w:rPr>
              <w:t>National Environmental Agency (NEA)</w:t>
            </w:r>
          </w:p>
          <w:p w:rsidR="00D9655E" w:rsidRPr="006314C9" w:rsidRDefault="00D9655E" w:rsidP="002B3060">
            <w:pPr>
              <w:contextualSpacing/>
              <w:jc w:val="left"/>
              <w:rPr>
                <w:rFonts w:cs="Times New Roman"/>
                <w:sz w:val="20"/>
                <w:szCs w:val="20"/>
                <w:u w:val="single"/>
                <w:lang w:val="en-GB"/>
              </w:rPr>
            </w:pPr>
          </w:p>
        </w:tc>
        <w:tc>
          <w:tcPr>
            <w:tcW w:w="2393" w:type="dxa"/>
          </w:tcPr>
          <w:p w:rsidR="00D9655E" w:rsidRPr="006314C9" w:rsidRDefault="00B95D6A" w:rsidP="001970C3">
            <w:pPr>
              <w:contextualSpacing/>
              <w:jc w:val="left"/>
              <w:rPr>
                <w:rFonts w:cs="Times New Roman"/>
                <w:sz w:val="20"/>
                <w:szCs w:val="20"/>
                <w:lang w:val="en-GB"/>
              </w:rPr>
            </w:pPr>
            <w:r w:rsidRPr="006314C9">
              <w:rPr>
                <w:rFonts w:cs="Times New Roman"/>
                <w:sz w:val="20"/>
                <w:szCs w:val="20"/>
                <w:lang w:val="en-GB"/>
              </w:rPr>
              <w:t>Partially;</w:t>
            </w:r>
          </w:p>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 xml:space="preserve">37% </w:t>
            </w:r>
          </w:p>
        </w:tc>
        <w:tc>
          <w:tcPr>
            <w:tcW w:w="2395" w:type="dxa"/>
          </w:tcPr>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Initial stage</w:t>
            </w:r>
          </w:p>
        </w:tc>
      </w:tr>
      <w:tr w:rsidR="00D9655E" w:rsidRPr="006314C9" w:rsidTr="00D9655E">
        <w:tc>
          <w:tcPr>
            <w:tcW w:w="2393" w:type="dxa"/>
          </w:tcPr>
          <w:p w:rsidR="00D9655E" w:rsidRPr="006314C9" w:rsidDel="00C427D3" w:rsidRDefault="00D9655E" w:rsidP="00C427D3">
            <w:pPr>
              <w:contextualSpacing/>
              <w:jc w:val="left"/>
              <w:rPr>
                <w:rFonts w:cs="Times New Roman"/>
                <w:sz w:val="20"/>
                <w:szCs w:val="20"/>
                <w:lang w:val="en-GB"/>
              </w:rPr>
            </w:pPr>
            <w:r w:rsidRPr="006314C9">
              <w:rPr>
                <w:rFonts w:cs="Times New Roman"/>
                <w:sz w:val="20"/>
                <w:szCs w:val="20"/>
                <w:lang w:val="en-GB"/>
              </w:rPr>
              <w:t>2009/90/</w:t>
            </w:r>
            <w:r w:rsidR="00B95D6A" w:rsidRPr="006314C9">
              <w:rPr>
                <w:rFonts w:cs="Times New Roman"/>
                <w:i/>
                <w:sz w:val="20"/>
                <w:szCs w:val="20"/>
                <w:lang w:val="en-GB"/>
              </w:rPr>
              <w:t xml:space="preserve">EC </w:t>
            </w:r>
            <w:r w:rsidR="00B95D6A" w:rsidRPr="006314C9">
              <w:rPr>
                <w:rFonts w:cs="Times New Roman"/>
                <w:b/>
                <w:i/>
                <w:sz w:val="20"/>
                <w:szCs w:val="20"/>
                <w:lang w:val="en-GB"/>
              </w:rPr>
              <w:t>Quality Assurance Quality Control</w:t>
            </w:r>
          </w:p>
        </w:tc>
        <w:tc>
          <w:tcPr>
            <w:tcW w:w="2395" w:type="dxa"/>
          </w:tcPr>
          <w:p w:rsidR="00D9655E" w:rsidRPr="006314C9" w:rsidRDefault="00B95D6A" w:rsidP="002B3060">
            <w:pPr>
              <w:contextualSpacing/>
              <w:jc w:val="left"/>
              <w:rPr>
                <w:rFonts w:cs="Times New Roman"/>
                <w:sz w:val="20"/>
                <w:szCs w:val="20"/>
                <w:lang w:val="en-GB"/>
              </w:rPr>
            </w:pPr>
            <w:r w:rsidRPr="006314C9">
              <w:rPr>
                <w:rFonts w:cs="Times New Roman"/>
                <w:sz w:val="20"/>
                <w:szCs w:val="20"/>
                <w:lang w:val="en-GB"/>
              </w:rPr>
              <w:t>NEA</w:t>
            </w:r>
          </w:p>
        </w:tc>
        <w:tc>
          <w:tcPr>
            <w:tcW w:w="2393" w:type="dxa"/>
          </w:tcPr>
          <w:p w:rsidR="00D9655E" w:rsidRPr="006314C9" w:rsidRDefault="00D9655E" w:rsidP="001970C3">
            <w:pPr>
              <w:contextualSpacing/>
              <w:jc w:val="left"/>
              <w:rPr>
                <w:rFonts w:cs="Times New Roman"/>
                <w:sz w:val="20"/>
                <w:szCs w:val="20"/>
                <w:lang w:val="en-GB"/>
              </w:rPr>
            </w:pPr>
            <w:r w:rsidRPr="006314C9">
              <w:rPr>
                <w:rFonts w:cs="Times New Roman"/>
                <w:sz w:val="20"/>
                <w:szCs w:val="20"/>
                <w:lang w:val="en-GB"/>
              </w:rPr>
              <w:t>Initial stage;</w:t>
            </w:r>
          </w:p>
          <w:p w:rsidR="00D9655E" w:rsidRPr="006314C9" w:rsidRDefault="00D9655E" w:rsidP="002B3060">
            <w:pPr>
              <w:contextualSpacing/>
              <w:jc w:val="left"/>
              <w:rPr>
                <w:rFonts w:cs="Times New Roman"/>
                <w:sz w:val="20"/>
                <w:szCs w:val="20"/>
                <w:lang w:val="en-GB"/>
              </w:rPr>
            </w:pPr>
            <w:r w:rsidRPr="006314C9">
              <w:rPr>
                <w:rFonts w:cs="Times New Roman"/>
                <w:sz w:val="20"/>
                <w:szCs w:val="20"/>
                <w:lang w:val="en-GB"/>
              </w:rPr>
              <w:t xml:space="preserve">20% </w:t>
            </w:r>
          </w:p>
        </w:tc>
        <w:tc>
          <w:tcPr>
            <w:tcW w:w="2395" w:type="dxa"/>
          </w:tcPr>
          <w:p w:rsidR="00D9655E" w:rsidRPr="006314C9" w:rsidRDefault="00D9655E" w:rsidP="002B3060">
            <w:pPr>
              <w:contextualSpacing/>
              <w:jc w:val="left"/>
              <w:rPr>
                <w:rFonts w:cs="Times New Roman"/>
                <w:sz w:val="20"/>
                <w:szCs w:val="20"/>
                <w:lang w:val="en-GB"/>
              </w:rPr>
            </w:pPr>
            <w:r w:rsidRPr="006314C9">
              <w:rPr>
                <w:rFonts w:cs="Times New Roman"/>
                <w:sz w:val="20"/>
                <w:szCs w:val="20"/>
                <w:lang w:val="en-GB"/>
              </w:rPr>
              <w:t>Initial stage</w:t>
            </w:r>
          </w:p>
        </w:tc>
      </w:tr>
      <w:tr w:rsidR="00BE162B" w:rsidRPr="006314C9" w:rsidTr="00D9655E">
        <w:tc>
          <w:tcPr>
            <w:tcW w:w="2393" w:type="dxa"/>
          </w:tcPr>
          <w:p w:rsidR="00BE162B" w:rsidRPr="006314C9" w:rsidRDefault="002F0A16" w:rsidP="00C427D3">
            <w:pPr>
              <w:contextualSpacing/>
              <w:jc w:val="left"/>
              <w:rPr>
                <w:rFonts w:cs="Times New Roman"/>
                <w:sz w:val="20"/>
                <w:szCs w:val="20"/>
                <w:lang w:val="en-GB"/>
              </w:rPr>
            </w:pPr>
            <w:r w:rsidRPr="006314C9">
              <w:rPr>
                <w:rFonts w:cs="Times New Roman"/>
                <w:sz w:val="20"/>
                <w:szCs w:val="20"/>
                <w:lang w:val="en-GB"/>
              </w:rPr>
              <w:t xml:space="preserve">2007/60/EC </w:t>
            </w:r>
            <w:r w:rsidR="00B95D6A" w:rsidRPr="006314C9">
              <w:rPr>
                <w:rFonts w:cs="Times New Roman"/>
                <w:b/>
                <w:i/>
                <w:sz w:val="20"/>
                <w:szCs w:val="20"/>
                <w:lang w:val="en-GB"/>
              </w:rPr>
              <w:t xml:space="preserve">Floods </w:t>
            </w:r>
          </w:p>
        </w:tc>
        <w:tc>
          <w:tcPr>
            <w:tcW w:w="2395" w:type="dxa"/>
          </w:tcPr>
          <w:p w:rsidR="00BE162B" w:rsidRPr="006314C9" w:rsidRDefault="002F0A16" w:rsidP="008D0E4D">
            <w:pPr>
              <w:contextualSpacing/>
              <w:jc w:val="left"/>
              <w:rPr>
                <w:rFonts w:cs="Times New Roman"/>
                <w:sz w:val="20"/>
                <w:szCs w:val="20"/>
                <w:lang w:val="en-GB"/>
              </w:rPr>
            </w:pPr>
            <w:r w:rsidRPr="006314C9">
              <w:rPr>
                <w:rFonts w:cs="Times New Roman"/>
                <w:sz w:val="20"/>
                <w:szCs w:val="20"/>
                <w:lang w:val="en-GB"/>
              </w:rPr>
              <w:t xml:space="preserve">Ministry of </w:t>
            </w:r>
            <w:r w:rsidR="008D0E4D" w:rsidRPr="006314C9">
              <w:rPr>
                <w:rFonts w:cs="Times New Roman"/>
                <w:sz w:val="20"/>
                <w:szCs w:val="20"/>
                <w:lang w:val="en-GB"/>
              </w:rPr>
              <w:t>Defence (MoD)</w:t>
            </w:r>
          </w:p>
        </w:tc>
        <w:tc>
          <w:tcPr>
            <w:tcW w:w="2393" w:type="dxa"/>
          </w:tcPr>
          <w:p w:rsidR="00BE162B" w:rsidRPr="006314C9" w:rsidRDefault="002F0A16" w:rsidP="002B3060">
            <w:pPr>
              <w:contextualSpacing/>
              <w:jc w:val="left"/>
              <w:rPr>
                <w:rFonts w:cs="Times New Roman"/>
                <w:sz w:val="20"/>
                <w:szCs w:val="20"/>
                <w:lang w:val="en-GB"/>
              </w:rPr>
            </w:pPr>
            <w:r w:rsidRPr="006314C9">
              <w:rPr>
                <w:rFonts w:cs="Times New Roman"/>
                <w:sz w:val="20"/>
                <w:szCs w:val="20"/>
                <w:lang w:val="en-GB"/>
              </w:rPr>
              <w:t>Initial stage;</w:t>
            </w:r>
          </w:p>
          <w:p w:rsidR="00BE162B" w:rsidRPr="006314C9" w:rsidRDefault="002F0A16" w:rsidP="002B3060">
            <w:pPr>
              <w:contextualSpacing/>
              <w:jc w:val="left"/>
              <w:rPr>
                <w:rFonts w:cs="Times New Roman"/>
                <w:sz w:val="20"/>
                <w:szCs w:val="20"/>
                <w:lang w:val="en-GB"/>
              </w:rPr>
            </w:pPr>
            <w:r w:rsidRPr="006314C9">
              <w:rPr>
                <w:rFonts w:cs="Times New Roman"/>
                <w:sz w:val="20"/>
                <w:szCs w:val="20"/>
                <w:lang w:val="en-GB"/>
              </w:rPr>
              <w:t xml:space="preserve">10% </w:t>
            </w:r>
          </w:p>
        </w:tc>
        <w:tc>
          <w:tcPr>
            <w:tcW w:w="2395" w:type="dxa"/>
          </w:tcPr>
          <w:p w:rsidR="00BE162B" w:rsidRPr="006314C9" w:rsidRDefault="002F0A16" w:rsidP="002B3060">
            <w:pPr>
              <w:contextualSpacing/>
              <w:jc w:val="left"/>
              <w:rPr>
                <w:rFonts w:cs="Times New Roman"/>
                <w:sz w:val="20"/>
                <w:szCs w:val="20"/>
                <w:lang w:val="en-GB"/>
              </w:rPr>
            </w:pPr>
            <w:r w:rsidRPr="006314C9">
              <w:rPr>
                <w:rFonts w:cs="Times New Roman"/>
                <w:sz w:val="20"/>
                <w:szCs w:val="20"/>
                <w:lang w:val="en-GB"/>
              </w:rPr>
              <w:t>Initial stage</w:t>
            </w:r>
          </w:p>
        </w:tc>
      </w:tr>
    </w:tbl>
    <w:p w:rsidR="00BE162B" w:rsidRPr="006314C9" w:rsidRDefault="00BE162B" w:rsidP="00B27FEA">
      <w:pPr>
        <w:rPr>
          <w:rFonts w:cs="Times New Roman"/>
          <w:lang w:val="en-GB"/>
        </w:rPr>
      </w:pPr>
    </w:p>
    <w:p w:rsidR="00521A8F" w:rsidRPr="006314C9" w:rsidRDefault="00521A8F" w:rsidP="00750C45">
      <w:pPr>
        <w:spacing w:beforeLines="60" w:afterLines="60"/>
        <w:contextualSpacing/>
        <w:rPr>
          <w:rFonts w:cs="Times New Roman"/>
          <w:lang w:val="en-GB"/>
        </w:rPr>
      </w:pPr>
    </w:p>
    <w:p w:rsidR="00521A8F" w:rsidRPr="006314C9" w:rsidRDefault="00422F98" w:rsidP="00B27FEA">
      <w:pPr>
        <w:pStyle w:val="Heading1"/>
        <w:numPr>
          <w:ilvl w:val="0"/>
          <w:numId w:val="0"/>
        </w:numPr>
        <w:ind w:left="720" w:hanging="360"/>
        <w:jc w:val="center"/>
        <w:rPr>
          <w:rFonts w:cs="Times New Roman"/>
          <w:szCs w:val="22"/>
          <w:lang w:val="en-GB"/>
        </w:rPr>
      </w:pPr>
      <w:bookmarkStart w:id="18" w:name="_Toc24031512"/>
      <w:r w:rsidRPr="006314C9">
        <w:rPr>
          <w:rFonts w:cs="Times New Roman"/>
          <w:szCs w:val="22"/>
          <w:lang w:val="en-GB"/>
        </w:rPr>
        <w:t xml:space="preserve">Sub Chapter: </w:t>
      </w:r>
      <w:r w:rsidR="00521A8F" w:rsidRPr="006314C9">
        <w:rPr>
          <w:rFonts w:cs="Times New Roman"/>
          <w:szCs w:val="22"/>
          <w:lang w:val="en-GB"/>
        </w:rPr>
        <w:t>Nature protection</w:t>
      </w:r>
      <w:bookmarkEnd w:id="18"/>
    </w:p>
    <w:p w:rsidR="00521A8F" w:rsidRPr="006314C9" w:rsidRDefault="00521A8F" w:rsidP="007B0BC7">
      <w:pPr>
        <w:rPr>
          <w:rFonts w:cs="Times New Roman"/>
          <w:lang w:val="en-GB"/>
        </w:rPr>
      </w:pPr>
      <w:r w:rsidRPr="006314C9">
        <w:rPr>
          <w:rFonts w:cs="Times New Roman"/>
          <w:b/>
          <w:lang w:val="en-GB"/>
        </w:rPr>
        <w:t>Background information</w:t>
      </w:r>
    </w:p>
    <w:p w:rsidR="00521A8F" w:rsidRPr="006314C9" w:rsidRDefault="00521A8F" w:rsidP="005828FE">
      <w:pPr>
        <w:rPr>
          <w:lang w:val="en-GB"/>
        </w:rPr>
      </w:pPr>
      <w:r w:rsidRPr="006314C9">
        <w:rPr>
          <w:lang w:val="en-GB"/>
        </w:rPr>
        <w:t xml:space="preserve">The sub-chapter on Nature conservation includes 10 EU directives/regulations having the overall scope to protect natural values. However, the specific scope of each directive/regulation differs from overall habitats and species to specific elements of biodiversity. </w:t>
      </w:r>
    </w:p>
    <w:p w:rsidR="00521A8F" w:rsidRPr="006314C9" w:rsidRDefault="00521A8F" w:rsidP="00152F5E">
      <w:pPr>
        <w:pStyle w:val="ListParagraph"/>
        <w:numPr>
          <w:ilvl w:val="0"/>
          <w:numId w:val="11"/>
        </w:numPr>
        <w:rPr>
          <w:rFonts w:cs="Times New Roman"/>
          <w:lang w:val="en-GB"/>
        </w:rPr>
      </w:pPr>
      <w:r w:rsidRPr="006314C9">
        <w:rPr>
          <w:rFonts w:cs="Times New Roman"/>
          <w:lang w:val="en-GB"/>
        </w:rPr>
        <w:t xml:space="preserve">The main and most important directives are the </w:t>
      </w:r>
      <w:r w:rsidRPr="006314C9">
        <w:rPr>
          <w:rFonts w:cs="Times New Roman"/>
          <w:i/>
          <w:lang w:val="en-GB"/>
        </w:rPr>
        <w:t>Wild Birds</w:t>
      </w:r>
      <w:r w:rsidRPr="006314C9">
        <w:rPr>
          <w:rFonts w:cs="Times New Roman"/>
          <w:lang w:val="en-GB"/>
        </w:rPr>
        <w:t xml:space="preserve"> and </w:t>
      </w:r>
      <w:r w:rsidRPr="006314C9">
        <w:rPr>
          <w:rFonts w:cs="Times New Roman"/>
          <w:i/>
          <w:lang w:val="en-GB"/>
        </w:rPr>
        <w:t>Habitats Directives</w:t>
      </w:r>
      <w:r w:rsidRPr="006314C9">
        <w:rPr>
          <w:rFonts w:cs="Times New Roman"/>
          <w:lang w:val="en-GB"/>
        </w:rPr>
        <w:t xml:space="preserve"> regulati</w:t>
      </w:r>
      <w:r w:rsidR="005979BE" w:rsidRPr="006314C9">
        <w:rPr>
          <w:rFonts w:cs="Times New Roman"/>
          <w:lang w:val="en-GB"/>
        </w:rPr>
        <w:t>ng</w:t>
      </w:r>
      <w:r w:rsidRPr="006314C9">
        <w:rPr>
          <w:rFonts w:cs="Times New Roman"/>
          <w:lang w:val="en-GB"/>
        </w:rPr>
        <w:t xml:space="preserve"> the protection of species and habitats through the establishment and proper management of a network of designated areas known as </w:t>
      </w:r>
      <w:proofErr w:type="spellStart"/>
      <w:r w:rsidRPr="006314C9">
        <w:rPr>
          <w:rFonts w:cs="Times New Roman"/>
          <w:lang w:val="en-GB"/>
        </w:rPr>
        <w:t>Natura</w:t>
      </w:r>
      <w:proofErr w:type="spellEnd"/>
      <w:r w:rsidRPr="006314C9">
        <w:rPr>
          <w:rFonts w:cs="Times New Roman"/>
          <w:lang w:val="en-GB"/>
        </w:rPr>
        <w:t xml:space="preserve"> 2000 network.</w:t>
      </w:r>
    </w:p>
    <w:p w:rsidR="005979BE" w:rsidRPr="006314C9" w:rsidRDefault="00521A8F" w:rsidP="00152F5E">
      <w:pPr>
        <w:pStyle w:val="ListParagraph"/>
        <w:numPr>
          <w:ilvl w:val="0"/>
          <w:numId w:val="11"/>
        </w:numPr>
        <w:rPr>
          <w:rFonts w:cs="Times New Roman"/>
          <w:lang w:val="en-GB"/>
        </w:rPr>
      </w:pPr>
      <w:r w:rsidRPr="006314C9">
        <w:rPr>
          <w:rFonts w:cs="Times New Roman"/>
          <w:lang w:val="en-GB"/>
        </w:rPr>
        <w:t xml:space="preserve">The </w:t>
      </w:r>
      <w:r w:rsidRPr="006314C9">
        <w:rPr>
          <w:rFonts w:cs="Times New Roman"/>
          <w:i/>
          <w:lang w:val="en-GB"/>
        </w:rPr>
        <w:t>CITES</w:t>
      </w:r>
      <w:r w:rsidRPr="006314C9">
        <w:rPr>
          <w:rFonts w:cs="Times New Roman"/>
          <w:lang w:val="en-GB"/>
        </w:rPr>
        <w:t xml:space="preserve"> regulation sets up requirements for the protection species of wild fauna and flora by regulation their trade. </w:t>
      </w:r>
    </w:p>
    <w:p w:rsidR="00521A8F" w:rsidRPr="006314C9" w:rsidRDefault="00521A8F" w:rsidP="00152F5E">
      <w:pPr>
        <w:pStyle w:val="ListParagraph"/>
        <w:numPr>
          <w:ilvl w:val="0"/>
          <w:numId w:val="11"/>
        </w:numPr>
        <w:rPr>
          <w:rFonts w:cs="Times New Roman"/>
          <w:lang w:val="en-GB"/>
        </w:rPr>
      </w:pPr>
      <w:r w:rsidRPr="006314C9">
        <w:rPr>
          <w:rFonts w:cs="Times New Roman"/>
          <w:lang w:val="en-GB"/>
        </w:rPr>
        <w:t xml:space="preserve">The </w:t>
      </w:r>
      <w:r w:rsidRPr="006314C9">
        <w:rPr>
          <w:rFonts w:cs="Times New Roman"/>
          <w:i/>
          <w:lang w:val="en-GB"/>
        </w:rPr>
        <w:t>Zoo Directive</w:t>
      </w:r>
      <w:r w:rsidRPr="006314C9">
        <w:rPr>
          <w:rFonts w:cs="Times New Roman"/>
          <w:lang w:val="en-GB"/>
        </w:rPr>
        <w:t xml:space="preserve"> sets up requirements for the establishment, licensing and management of Zoos with the primary objective of ex-situ conservation of wild animals. </w:t>
      </w:r>
    </w:p>
    <w:p w:rsidR="00521A8F" w:rsidRPr="006314C9" w:rsidRDefault="00521A8F" w:rsidP="00152F5E">
      <w:pPr>
        <w:pStyle w:val="ListParagraph"/>
        <w:numPr>
          <w:ilvl w:val="0"/>
          <w:numId w:val="11"/>
        </w:numPr>
        <w:rPr>
          <w:rFonts w:cs="Times New Roman"/>
          <w:lang w:val="en-GB"/>
        </w:rPr>
      </w:pPr>
      <w:r w:rsidRPr="006314C9">
        <w:rPr>
          <w:rFonts w:cs="Times New Roman"/>
          <w:lang w:val="en-GB"/>
        </w:rPr>
        <w:t xml:space="preserve">The </w:t>
      </w:r>
      <w:r w:rsidRPr="006314C9">
        <w:rPr>
          <w:rFonts w:cs="Times New Roman"/>
          <w:i/>
          <w:lang w:val="en-GB"/>
        </w:rPr>
        <w:t xml:space="preserve">FLEGT </w:t>
      </w:r>
      <w:r w:rsidRPr="006314C9">
        <w:rPr>
          <w:rFonts w:cs="Times New Roman"/>
          <w:lang w:val="en-GB"/>
        </w:rPr>
        <w:t xml:space="preserve">and </w:t>
      </w:r>
      <w:r w:rsidRPr="006314C9">
        <w:rPr>
          <w:rFonts w:cs="Times New Roman"/>
          <w:i/>
          <w:lang w:val="en-GB"/>
        </w:rPr>
        <w:t xml:space="preserve">EUTR </w:t>
      </w:r>
      <w:r w:rsidRPr="006314C9">
        <w:rPr>
          <w:rFonts w:cs="Times New Roman"/>
          <w:lang w:val="en-GB"/>
        </w:rPr>
        <w:t>regulations aim to regulate the trade of an important natural resource such as timber. Both regulation</w:t>
      </w:r>
      <w:r w:rsidR="005979BE" w:rsidRPr="006314C9">
        <w:rPr>
          <w:rFonts w:cs="Times New Roman"/>
          <w:lang w:val="en-GB"/>
        </w:rPr>
        <w:t>s</w:t>
      </w:r>
      <w:r w:rsidRPr="006314C9">
        <w:rPr>
          <w:rFonts w:cs="Times New Roman"/>
          <w:lang w:val="en-GB"/>
        </w:rPr>
        <w:t xml:space="preserve"> set up requirements for market operators placing timber products on EU market to respect and provide for appropriate forest law enforcement, governance and trade. </w:t>
      </w:r>
    </w:p>
    <w:p w:rsidR="00521A8F" w:rsidRPr="006314C9" w:rsidRDefault="00521A8F" w:rsidP="00152F5E">
      <w:pPr>
        <w:pStyle w:val="ListParagraph"/>
        <w:numPr>
          <w:ilvl w:val="0"/>
          <w:numId w:val="11"/>
        </w:numPr>
        <w:rPr>
          <w:rFonts w:cs="Times New Roman"/>
          <w:lang w:val="en-GB"/>
        </w:rPr>
      </w:pPr>
      <w:r w:rsidRPr="006314C9">
        <w:rPr>
          <w:rFonts w:cs="Times New Roman"/>
          <w:lang w:val="en-GB"/>
        </w:rPr>
        <w:t xml:space="preserve">The regulation on </w:t>
      </w:r>
      <w:r w:rsidRPr="006314C9">
        <w:rPr>
          <w:rFonts w:cs="Times New Roman"/>
          <w:i/>
          <w:lang w:val="en-GB"/>
        </w:rPr>
        <w:t>access to genetic resources</w:t>
      </w:r>
      <w:r w:rsidRPr="006314C9">
        <w:rPr>
          <w:rFonts w:cs="Times New Roman"/>
          <w:lang w:val="en-GB"/>
        </w:rPr>
        <w:t xml:space="preserve"> and fair and equitable sharing of benefits from their utilization is a complex regulation aiming to regulate the register of genetic collections, monitor user compliance and promote best practices.</w:t>
      </w:r>
    </w:p>
    <w:p w:rsidR="00521A8F" w:rsidRPr="006314C9" w:rsidRDefault="00521A8F" w:rsidP="00152F5E">
      <w:pPr>
        <w:pStyle w:val="ListParagraph"/>
        <w:numPr>
          <w:ilvl w:val="0"/>
          <w:numId w:val="11"/>
        </w:numPr>
        <w:rPr>
          <w:rFonts w:cs="Times New Roman"/>
          <w:lang w:val="en-GB"/>
        </w:rPr>
      </w:pPr>
      <w:r w:rsidRPr="006314C9">
        <w:rPr>
          <w:rFonts w:cs="Times New Roman"/>
          <w:lang w:val="en-GB"/>
        </w:rPr>
        <w:t xml:space="preserve">The regulation on </w:t>
      </w:r>
      <w:r w:rsidRPr="006314C9">
        <w:rPr>
          <w:rFonts w:cs="Times New Roman"/>
          <w:i/>
          <w:lang w:val="en-GB"/>
        </w:rPr>
        <w:t>leg-hold traps</w:t>
      </w:r>
      <w:r w:rsidRPr="006314C9">
        <w:rPr>
          <w:rFonts w:cs="Times New Roman"/>
          <w:lang w:val="en-GB"/>
        </w:rPr>
        <w:t xml:space="preserve"> aims to halt the use of cruel animal trapping tools by prohibiting both the sale of equipment as well as pelts obtained from animals trapped by their use. Additionally the directive on the </w:t>
      </w:r>
      <w:r w:rsidRPr="006314C9">
        <w:rPr>
          <w:rFonts w:cs="Times New Roman"/>
          <w:i/>
          <w:lang w:val="en-GB"/>
        </w:rPr>
        <w:t>import of skins of certain seal pups</w:t>
      </w:r>
      <w:r w:rsidRPr="006314C9">
        <w:rPr>
          <w:rFonts w:cs="Times New Roman"/>
          <w:lang w:val="en-GB"/>
        </w:rPr>
        <w:t xml:space="preserve"> and the regulation on the </w:t>
      </w:r>
      <w:r w:rsidRPr="006314C9">
        <w:rPr>
          <w:rFonts w:cs="Times New Roman"/>
          <w:i/>
          <w:lang w:val="en-GB"/>
        </w:rPr>
        <w:t>trade of seal products</w:t>
      </w:r>
      <w:r w:rsidRPr="006314C9">
        <w:rPr>
          <w:rFonts w:cs="Times New Roman"/>
          <w:lang w:val="en-GB"/>
        </w:rPr>
        <w:t xml:space="preserve"> aim to protect a diverse </w:t>
      </w:r>
      <w:hyperlink r:id="rId25" w:tooltip="Clade" w:history="1">
        <w:proofErr w:type="spellStart"/>
        <w:r w:rsidRPr="006314C9">
          <w:rPr>
            <w:rFonts w:cs="Times New Roman"/>
            <w:lang w:val="en-GB"/>
          </w:rPr>
          <w:t>clade</w:t>
        </w:r>
        <w:proofErr w:type="spellEnd"/>
      </w:hyperlink>
      <w:r w:rsidRPr="006314C9">
        <w:rPr>
          <w:rFonts w:cs="Times New Roman"/>
          <w:lang w:val="en-GB"/>
        </w:rPr>
        <w:t xml:space="preserve"> of </w:t>
      </w:r>
      <w:hyperlink r:id="rId26" w:tooltip="Carnivorous" w:history="1">
        <w:r w:rsidRPr="006314C9">
          <w:rPr>
            <w:rFonts w:cs="Times New Roman"/>
            <w:lang w:val="en-GB"/>
          </w:rPr>
          <w:t>carnivorous</w:t>
        </w:r>
      </w:hyperlink>
      <w:r w:rsidRPr="006314C9">
        <w:rPr>
          <w:rFonts w:cs="Times New Roman"/>
          <w:lang w:val="en-GB"/>
        </w:rPr>
        <w:t xml:space="preserve">, </w:t>
      </w:r>
      <w:hyperlink r:id="rId27" w:tooltip="Fin" w:history="1">
        <w:r w:rsidRPr="006314C9">
          <w:rPr>
            <w:rFonts w:cs="Times New Roman"/>
            <w:lang w:val="en-GB"/>
          </w:rPr>
          <w:t>fin</w:t>
        </w:r>
      </w:hyperlink>
      <w:r w:rsidRPr="006314C9">
        <w:rPr>
          <w:rFonts w:cs="Times New Roman"/>
          <w:lang w:val="en-GB"/>
        </w:rPr>
        <w:t xml:space="preserve">-footed, </w:t>
      </w:r>
      <w:hyperlink r:id="rId28" w:tooltip="List of semiaquatic tetrapods" w:history="1">
        <w:proofErr w:type="spellStart"/>
        <w:r w:rsidRPr="006314C9">
          <w:rPr>
            <w:rFonts w:cs="Times New Roman"/>
            <w:lang w:val="en-GB"/>
          </w:rPr>
          <w:t>semiaquatic</w:t>
        </w:r>
      </w:hyperlink>
      <w:hyperlink r:id="rId29" w:tooltip="Marine mammal" w:history="1">
        <w:r w:rsidRPr="006314C9">
          <w:rPr>
            <w:rFonts w:cs="Times New Roman"/>
            <w:lang w:val="en-GB"/>
          </w:rPr>
          <w:t>marine</w:t>
        </w:r>
        <w:proofErr w:type="spellEnd"/>
        <w:r w:rsidRPr="006314C9">
          <w:rPr>
            <w:rFonts w:cs="Times New Roman"/>
            <w:lang w:val="en-GB"/>
          </w:rPr>
          <w:t xml:space="preserve"> mammals</w:t>
        </w:r>
      </w:hyperlink>
      <w:r w:rsidRPr="006314C9">
        <w:rPr>
          <w:rFonts w:cs="Times New Roman"/>
          <w:lang w:val="en-GB"/>
        </w:rPr>
        <w:t xml:space="preserve"> (the seals).</w:t>
      </w:r>
    </w:p>
    <w:p w:rsidR="00521A8F" w:rsidRPr="006314C9" w:rsidRDefault="00521A8F" w:rsidP="00152F5E">
      <w:pPr>
        <w:rPr>
          <w:rFonts w:cs="Times New Roman"/>
          <w:lang w:val="en-GB"/>
        </w:rPr>
      </w:pPr>
      <w:r w:rsidRPr="006314C9">
        <w:rPr>
          <w:rFonts w:cs="Times New Roman"/>
          <w:b/>
          <w:lang w:val="en-GB"/>
        </w:rPr>
        <w:t>Transposition</w:t>
      </w:r>
    </w:p>
    <w:p w:rsidR="00521A8F" w:rsidRPr="006314C9" w:rsidRDefault="00521A8F" w:rsidP="005828FE">
      <w:pPr>
        <w:rPr>
          <w:lang w:val="en-GB"/>
        </w:rPr>
      </w:pPr>
      <w:r w:rsidRPr="006314C9">
        <w:rPr>
          <w:lang w:val="en-GB"/>
        </w:rPr>
        <w:lastRenderedPageBreak/>
        <w:t>The directives and regulations under this subchapter are transposed at different levels. Only one Directive (</w:t>
      </w:r>
      <w:r w:rsidRPr="006314C9">
        <w:rPr>
          <w:i/>
          <w:lang w:val="en-GB"/>
        </w:rPr>
        <w:t>Habitat Directive</w:t>
      </w:r>
      <w:r w:rsidRPr="006314C9">
        <w:rPr>
          <w:lang w:val="en-GB"/>
        </w:rPr>
        <w:t xml:space="preserve">) is at an advanced level of transposition. Most of the others are partially transposed at different levels (from 31% to 65%). </w:t>
      </w:r>
    </w:p>
    <w:p w:rsidR="00521A8F" w:rsidRPr="006314C9" w:rsidRDefault="00521A8F" w:rsidP="005828FE">
      <w:pPr>
        <w:rPr>
          <w:lang w:val="en-GB"/>
        </w:rPr>
      </w:pPr>
      <w:r w:rsidRPr="006314C9">
        <w:rPr>
          <w:lang w:val="en-GB"/>
        </w:rPr>
        <w:t xml:space="preserve">The Law 81/2017 on Protected Areas and Law 9587 of 20.07.2006 on Biodiversity </w:t>
      </w:r>
      <w:r w:rsidR="004D3AC9" w:rsidRPr="006314C9">
        <w:rPr>
          <w:lang w:val="en-GB"/>
        </w:rPr>
        <w:t>P</w:t>
      </w:r>
      <w:r w:rsidRPr="006314C9">
        <w:rPr>
          <w:lang w:val="en-GB"/>
        </w:rPr>
        <w:t xml:space="preserve">rotection (amended) transpose most of the requirements of the </w:t>
      </w:r>
      <w:r w:rsidRPr="006314C9">
        <w:rPr>
          <w:i/>
          <w:lang w:val="en-GB"/>
        </w:rPr>
        <w:t>Habitat Directive</w:t>
      </w:r>
      <w:r w:rsidRPr="006314C9">
        <w:rPr>
          <w:lang w:val="en-GB"/>
        </w:rPr>
        <w:t>. Specific requirements are also transposed by the Law 8294 of 02.03.1998 “On ratification of the Convention on the conservation of European wildlife and natural habitats (Bern Convention)” and the DCM 866 of 10.12.2014 “On approval of the list of natural habitat types, plants, animals and birds with interest for European Community”.</w:t>
      </w:r>
      <w:r w:rsidR="004D3AC9" w:rsidRPr="006314C9">
        <w:rPr>
          <w:lang w:val="en-GB"/>
        </w:rPr>
        <w:t xml:space="preserve"> Amendments of the Law on Biodiversity Protection have been prepare</w:t>
      </w:r>
      <w:r w:rsidR="002724D6" w:rsidRPr="006314C9">
        <w:rPr>
          <w:lang w:val="en-GB"/>
        </w:rPr>
        <w:t>d</w:t>
      </w:r>
      <w:r w:rsidR="004D3AC9" w:rsidRPr="006314C9">
        <w:rPr>
          <w:lang w:val="en-GB"/>
        </w:rPr>
        <w:t xml:space="preserve"> which are at the moment in public consultation procedure. The amendments will increase the level of transposition and are expected to be approved by end of 2019.</w:t>
      </w:r>
    </w:p>
    <w:p w:rsidR="00521A8F" w:rsidRPr="006314C9" w:rsidRDefault="00521A8F" w:rsidP="005828FE">
      <w:pPr>
        <w:rPr>
          <w:lang w:val="en-GB"/>
        </w:rPr>
      </w:pPr>
      <w:r w:rsidRPr="006314C9">
        <w:rPr>
          <w:lang w:val="en-GB"/>
        </w:rPr>
        <w:t xml:space="preserve">Some requirements of the </w:t>
      </w:r>
      <w:r w:rsidRPr="006314C9">
        <w:rPr>
          <w:i/>
          <w:lang w:val="en-GB"/>
        </w:rPr>
        <w:t>Bird Directive</w:t>
      </w:r>
      <w:r w:rsidRPr="006314C9">
        <w:rPr>
          <w:lang w:val="en-GB"/>
        </w:rPr>
        <w:t xml:space="preserve"> are transposed by the Law 10006 of 23.10.2008 “On the protection of wild fauna” and the DCM 897 of 21.12.2011 “On the procedures for the designation of Special Areas of Conservation” and DCM 546 of 07.07.2010 “On the approval of the list of Wild fauna species object of hunting”.</w:t>
      </w:r>
    </w:p>
    <w:p w:rsidR="00521A8F" w:rsidRPr="006314C9" w:rsidRDefault="00521A8F" w:rsidP="005828FE">
      <w:pPr>
        <w:rPr>
          <w:lang w:val="en-GB"/>
        </w:rPr>
      </w:pPr>
      <w:r w:rsidRPr="006314C9">
        <w:rPr>
          <w:lang w:val="en-GB"/>
        </w:rPr>
        <w:t xml:space="preserve">Since 2003, Albania adheres to the </w:t>
      </w:r>
      <w:r w:rsidRPr="006314C9">
        <w:rPr>
          <w:i/>
          <w:lang w:val="en-GB"/>
        </w:rPr>
        <w:t>C</w:t>
      </w:r>
      <w:r w:rsidR="005979BE" w:rsidRPr="006314C9">
        <w:rPr>
          <w:i/>
          <w:lang w:val="en-GB"/>
        </w:rPr>
        <w:t>ITES</w:t>
      </w:r>
      <w:r w:rsidRPr="006314C9">
        <w:rPr>
          <w:i/>
          <w:lang w:val="en-GB"/>
        </w:rPr>
        <w:t xml:space="preserve"> Convention</w:t>
      </w:r>
      <w:r w:rsidRPr="006314C9">
        <w:rPr>
          <w:lang w:val="en-GB"/>
        </w:rPr>
        <w:t xml:space="preserve"> (Law 9021 of 06.03.2003 “On adhesion of the Republic of Albania in the “Convention on International Trade of Endangered Species”</w:t>
      </w:r>
      <w:r w:rsidR="004D3AC9" w:rsidRPr="006314C9">
        <w:rPr>
          <w:lang w:val="en-GB"/>
        </w:rPr>
        <w:t>)</w:t>
      </w:r>
      <w:r w:rsidRPr="006314C9">
        <w:rPr>
          <w:lang w:val="en-GB"/>
        </w:rPr>
        <w:t xml:space="preserve">. Some requirements of the </w:t>
      </w:r>
      <w:r w:rsidRPr="006314C9">
        <w:rPr>
          <w:i/>
          <w:lang w:val="en-GB"/>
        </w:rPr>
        <w:t>CITES regulation</w:t>
      </w:r>
      <w:r w:rsidRPr="006314C9">
        <w:rPr>
          <w:lang w:val="en-GB"/>
        </w:rPr>
        <w:t xml:space="preserve"> are transposed by the Law “On designating rules and procedures on international trade of endangered species of wild fauna and flora protection” (9867 of 31.01.2008). </w:t>
      </w:r>
      <w:r w:rsidR="002724D6" w:rsidRPr="006314C9">
        <w:rPr>
          <w:lang w:val="en-GB"/>
        </w:rPr>
        <w:t>Additionally,</w:t>
      </w:r>
      <w:r w:rsidRPr="006314C9">
        <w:rPr>
          <w:lang w:val="en-GB"/>
        </w:rPr>
        <w:t xml:space="preserve"> the Order of Minister of Environment 726 of 26.10.2005 “On the Approval of the Format of Standard Documentation in compliance with the legal provisions for the International Trade of Endangered Species of Wild Flora and Fauna” transposes some requirements of this regulation</w:t>
      </w:r>
      <w:r w:rsidR="005979BE" w:rsidRPr="006314C9">
        <w:rPr>
          <w:lang w:val="en-GB"/>
        </w:rPr>
        <w:t xml:space="preserve"> as well</w:t>
      </w:r>
      <w:r w:rsidRPr="006314C9">
        <w:rPr>
          <w:lang w:val="en-GB"/>
        </w:rPr>
        <w:t>.</w:t>
      </w:r>
    </w:p>
    <w:p w:rsidR="00521A8F" w:rsidRPr="006314C9" w:rsidRDefault="00521A8F" w:rsidP="00152F5E">
      <w:pPr>
        <w:rPr>
          <w:rFonts w:cs="Times New Roman"/>
          <w:lang w:val="en-GB"/>
        </w:rPr>
      </w:pPr>
      <w:r w:rsidRPr="006314C9">
        <w:rPr>
          <w:rFonts w:cs="Times New Roman"/>
          <w:lang w:val="en-GB"/>
        </w:rPr>
        <w:t xml:space="preserve">The Law “On forests and the forestry service” (9385 of 04.05.2005) transposes some of the requirements of the FLEGT and EUTR regulations. </w:t>
      </w:r>
      <w:proofErr w:type="gramStart"/>
      <w:r w:rsidRPr="006314C9">
        <w:rPr>
          <w:rFonts w:cs="Times New Roman"/>
          <w:lang w:val="en-GB"/>
        </w:rPr>
        <w:t>The Order of the Minister of Environment 182 of 20.09.2016 “On the approval of the Regulation “On treatment of wild fauna species in zoos and other surroundings, where the individ</w:t>
      </w:r>
      <w:r w:rsidR="00425740" w:rsidRPr="006314C9">
        <w:rPr>
          <w:rFonts w:cs="Times New Roman"/>
          <w:lang w:val="en-GB"/>
        </w:rPr>
        <w:t>uals are exposed to the public”</w:t>
      </w:r>
      <w:r w:rsidRPr="006314C9">
        <w:rPr>
          <w:rFonts w:cs="Times New Roman"/>
          <w:lang w:val="en-GB"/>
        </w:rPr>
        <w:t xml:space="preserve"> transposes few requirements of the </w:t>
      </w:r>
      <w:r w:rsidRPr="006314C9">
        <w:rPr>
          <w:rFonts w:cs="Times New Roman"/>
          <w:i/>
          <w:lang w:val="en-GB"/>
        </w:rPr>
        <w:t>Zoo Directive</w:t>
      </w:r>
      <w:r w:rsidRPr="006314C9">
        <w:rPr>
          <w:rFonts w:cs="Times New Roman"/>
          <w:lang w:val="en-GB"/>
        </w:rPr>
        <w:t>.</w:t>
      </w:r>
      <w:proofErr w:type="gramEnd"/>
    </w:p>
    <w:p w:rsidR="00521A8F" w:rsidRPr="006314C9" w:rsidRDefault="00521A8F" w:rsidP="00152F5E">
      <w:pPr>
        <w:rPr>
          <w:rFonts w:cs="Times New Roman"/>
          <w:lang w:val="en-GB"/>
        </w:rPr>
      </w:pPr>
      <w:r w:rsidRPr="006314C9">
        <w:rPr>
          <w:rFonts w:cs="Times New Roman"/>
          <w:lang w:val="en-GB"/>
        </w:rPr>
        <w:t xml:space="preserve">Four directives/regulations are not transposed at all (see summary table below). Although the Law “On Hunting” (10253 of 11.03.2010) mentions the prohibited hunting means/tools including among others leg hold traps, the requirements of the Leg-hold traps regulation are not transposed. </w:t>
      </w:r>
    </w:p>
    <w:p w:rsidR="00521A8F" w:rsidRPr="006314C9" w:rsidRDefault="00521A8F" w:rsidP="00152F5E">
      <w:pPr>
        <w:rPr>
          <w:rFonts w:cs="Times New Roman"/>
          <w:lang w:val="en-GB"/>
        </w:rPr>
      </w:pPr>
      <w:r w:rsidRPr="006314C9">
        <w:rPr>
          <w:rFonts w:cs="Times New Roman"/>
          <w:lang w:val="en-GB"/>
        </w:rPr>
        <w:t xml:space="preserve">Albania is adhering to </w:t>
      </w:r>
      <w:r w:rsidRPr="006314C9">
        <w:rPr>
          <w:rFonts w:cs="Times New Roman"/>
          <w:i/>
          <w:lang w:val="en-GB"/>
        </w:rPr>
        <w:t>Nagoya protocol</w:t>
      </w:r>
      <w:r w:rsidRPr="006314C9">
        <w:rPr>
          <w:rFonts w:cs="Times New Roman"/>
          <w:lang w:val="en-GB"/>
        </w:rPr>
        <w:t xml:space="preserve"> (</w:t>
      </w:r>
      <w:r w:rsidR="00097DB8" w:rsidRPr="006314C9">
        <w:rPr>
          <w:rFonts w:cs="Times New Roman"/>
          <w:lang w:val="en-GB"/>
        </w:rPr>
        <w:t xml:space="preserve">Law </w:t>
      </w:r>
      <w:r w:rsidRPr="006314C9">
        <w:rPr>
          <w:rFonts w:cs="Times New Roman"/>
          <w:lang w:val="en-GB"/>
        </w:rPr>
        <w:t xml:space="preserve">113/2012 </w:t>
      </w:r>
      <w:r w:rsidR="00097DB8" w:rsidRPr="006314C9">
        <w:rPr>
          <w:rFonts w:cs="Times New Roman"/>
          <w:lang w:val="en-GB"/>
        </w:rPr>
        <w:t>“On adhering of the Republic of Albania in Nagoya Protocol “On Access to Genetic Resources and the Fair and Equitable Sharing of Benefits Arising from their Utilization” of the Biodiversity Convention “On Biological Diversity”</w:t>
      </w:r>
      <w:r w:rsidRPr="006314C9">
        <w:rPr>
          <w:rFonts w:cs="Times New Roman"/>
          <w:lang w:val="en-GB"/>
        </w:rPr>
        <w:t>. However, the requirements of the ABS regulation are not transposed yet.</w:t>
      </w:r>
    </w:p>
    <w:p w:rsidR="00521A8F" w:rsidRPr="006314C9" w:rsidRDefault="00521A8F" w:rsidP="00152F5E">
      <w:pPr>
        <w:rPr>
          <w:rFonts w:cs="Times New Roman"/>
          <w:lang w:val="en-GB"/>
        </w:rPr>
      </w:pPr>
      <w:r w:rsidRPr="006314C9">
        <w:rPr>
          <w:rFonts w:cs="Times New Roman"/>
          <w:b/>
          <w:lang w:val="en-GB"/>
        </w:rPr>
        <w:t>Implementation</w:t>
      </w:r>
    </w:p>
    <w:p w:rsidR="00521A8F" w:rsidRPr="006314C9" w:rsidRDefault="00521A8F" w:rsidP="002724D6">
      <w:pPr>
        <w:rPr>
          <w:lang w:val="en-GB"/>
        </w:rPr>
      </w:pPr>
      <w:r w:rsidRPr="006314C9">
        <w:rPr>
          <w:lang w:val="en-GB"/>
        </w:rPr>
        <w:t>For most of directives/regulations under this sub-chapter implementation is at an initial stage. No specific plans and/or dates are set for full implementation. First, full transposition of all directives/regulations must be completed. The most important document is the “Policy Document on Nature protection” which set up the basis for the implementation of requirements of most of directives/regulations under this sub-chapter. Until June 2019</w:t>
      </w:r>
      <w:r w:rsidR="002724D6" w:rsidRPr="006314C9">
        <w:rPr>
          <w:lang w:val="en-GB"/>
        </w:rPr>
        <w:t>,</w:t>
      </w:r>
      <w:r w:rsidRPr="006314C9">
        <w:rPr>
          <w:lang w:val="en-GB"/>
        </w:rPr>
        <w:t xml:space="preserve"> 18% (528,057 ha) of the Albanian territory is under protected areas. The preliminary list of Sites of Community Interests developed by </w:t>
      </w:r>
      <w:proofErr w:type="spellStart"/>
      <w:r w:rsidRPr="006314C9">
        <w:rPr>
          <w:lang w:val="en-GB"/>
        </w:rPr>
        <w:t>NaturAL</w:t>
      </w:r>
      <w:proofErr w:type="spellEnd"/>
      <w:r w:rsidRPr="006314C9">
        <w:rPr>
          <w:lang w:val="en-GB"/>
        </w:rPr>
        <w:t xml:space="preserve"> project includes 44 sites covering existing protected areas as well as areas not yet under protection.</w:t>
      </w:r>
    </w:p>
    <w:p w:rsidR="00521A8F" w:rsidRPr="006314C9" w:rsidRDefault="00521A8F" w:rsidP="002724D6">
      <w:pPr>
        <w:rPr>
          <w:lang w:val="en-GB"/>
        </w:rPr>
      </w:pPr>
      <w:r w:rsidRPr="006314C9">
        <w:rPr>
          <w:lang w:val="en-GB"/>
        </w:rPr>
        <w:t xml:space="preserve">There are several donor-funded projects supporting various aspects of implementation and building capacities of relevant institutions. These projects have produced a number of valuable documents that can support significantly the implementation process (Plan for implementation for the Bird and Habitat Directive, preliminary list of </w:t>
      </w:r>
      <w:proofErr w:type="spellStart"/>
      <w:r w:rsidRPr="006314C9">
        <w:rPr>
          <w:lang w:val="en-GB"/>
        </w:rPr>
        <w:t>Natura</w:t>
      </w:r>
      <w:proofErr w:type="spellEnd"/>
      <w:r w:rsidRPr="006314C9">
        <w:rPr>
          <w:lang w:val="en-GB"/>
        </w:rPr>
        <w:t xml:space="preserve"> 2000 sites). </w:t>
      </w:r>
      <w:r w:rsidR="005979BE" w:rsidRPr="006314C9">
        <w:rPr>
          <w:lang w:val="en-GB"/>
        </w:rPr>
        <w:t>However, the implementation on designating the SAC and sites to be proposed under NATURA 2000 is in early stage mostly due to the lac</w:t>
      </w:r>
      <w:r w:rsidR="004D3AC9" w:rsidRPr="006314C9">
        <w:rPr>
          <w:lang w:val="en-GB"/>
        </w:rPr>
        <w:t>k</w:t>
      </w:r>
      <w:r w:rsidR="005979BE" w:rsidRPr="006314C9">
        <w:rPr>
          <w:lang w:val="en-GB"/>
        </w:rPr>
        <w:t xml:space="preserve"> of recourses to </w:t>
      </w:r>
      <w:r w:rsidR="005979BE" w:rsidRPr="006314C9">
        <w:rPr>
          <w:lang w:val="en-GB"/>
        </w:rPr>
        <w:lastRenderedPageBreak/>
        <w:t xml:space="preserve">conduct the required research and monitoring and to prepare relevant management plans. Better involvement with strategic approach of academia is needed which can contribute in obtaining relevant data from the nature. Monitoring of </w:t>
      </w:r>
      <w:r w:rsidR="004D3AC9" w:rsidRPr="006314C9">
        <w:rPr>
          <w:lang w:val="en-GB"/>
        </w:rPr>
        <w:t>species</w:t>
      </w:r>
      <w:r w:rsidR="00481801" w:rsidRPr="006314C9">
        <w:rPr>
          <w:lang w:val="en-GB"/>
        </w:rPr>
        <w:t xml:space="preserve"> and habitat</w:t>
      </w:r>
      <w:r w:rsidR="004D3AC9" w:rsidRPr="006314C9">
        <w:rPr>
          <w:lang w:val="en-GB"/>
        </w:rPr>
        <w:t>s</w:t>
      </w:r>
      <w:r w:rsidR="00481801" w:rsidRPr="006314C9">
        <w:rPr>
          <w:lang w:val="en-GB"/>
        </w:rPr>
        <w:t xml:space="preserve"> is not continuous and data base </w:t>
      </w:r>
      <w:r w:rsidR="004D3AC9" w:rsidRPr="006314C9">
        <w:rPr>
          <w:lang w:val="en-GB"/>
        </w:rPr>
        <w:t>is</w:t>
      </w:r>
      <w:r w:rsidR="00481801" w:rsidRPr="006314C9">
        <w:rPr>
          <w:lang w:val="en-GB"/>
        </w:rPr>
        <w:t xml:space="preserve"> n</w:t>
      </w:r>
      <w:r w:rsidR="004D3AC9" w:rsidRPr="006314C9">
        <w:rPr>
          <w:lang w:val="en-GB"/>
        </w:rPr>
        <w:t>o</w:t>
      </w:r>
      <w:r w:rsidR="00481801" w:rsidRPr="006314C9">
        <w:rPr>
          <w:lang w:val="en-GB"/>
        </w:rPr>
        <w:t>t develop</w:t>
      </w:r>
      <w:r w:rsidR="004D3AC9" w:rsidRPr="006314C9">
        <w:rPr>
          <w:lang w:val="en-GB"/>
        </w:rPr>
        <w:t>ed</w:t>
      </w:r>
      <w:r w:rsidR="00481801" w:rsidRPr="006314C9">
        <w:rPr>
          <w:lang w:val="en-GB"/>
        </w:rPr>
        <w:t xml:space="preserve"> as to be presented as </w:t>
      </w:r>
      <w:r w:rsidR="004D3AC9" w:rsidRPr="006314C9">
        <w:rPr>
          <w:lang w:val="en-GB"/>
        </w:rPr>
        <w:t>reliable</w:t>
      </w:r>
      <w:r w:rsidR="00481801" w:rsidRPr="006314C9">
        <w:rPr>
          <w:lang w:val="en-GB"/>
        </w:rPr>
        <w:t xml:space="preserve"> for decis</w:t>
      </w:r>
      <w:r w:rsidR="004D3AC9" w:rsidRPr="006314C9">
        <w:rPr>
          <w:lang w:val="en-GB"/>
        </w:rPr>
        <w:t>ion</w:t>
      </w:r>
      <w:r w:rsidR="00481801" w:rsidRPr="006314C9">
        <w:rPr>
          <w:lang w:val="en-GB"/>
        </w:rPr>
        <w:t xml:space="preserve"> making. I</w:t>
      </w:r>
      <w:r w:rsidRPr="006314C9">
        <w:rPr>
          <w:lang w:val="en-GB"/>
        </w:rPr>
        <w:t xml:space="preserve">mplementation is also hindered by lack of </w:t>
      </w:r>
      <w:r w:rsidR="00481801" w:rsidRPr="006314C9">
        <w:rPr>
          <w:lang w:val="en-GB"/>
        </w:rPr>
        <w:t xml:space="preserve">funds to conduct </w:t>
      </w:r>
      <w:r w:rsidRPr="006314C9">
        <w:rPr>
          <w:lang w:val="en-GB"/>
        </w:rPr>
        <w:t>appropriate monitoring</w:t>
      </w:r>
      <w:r w:rsidR="004D3AC9" w:rsidRPr="006314C9">
        <w:rPr>
          <w:lang w:val="en-GB"/>
        </w:rPr>
        <w:t>, insufficient coordination among involved institutions</w:t>
      </w:r>
      <w:r w:rsidRPr="006314C9">
        <w:rPr>
          <w:lang w:val="en-GB"/>
        </w:rPr>
        <w:t xml:space="preserve"> and l</w:t>
      </w:r>
      <w:r w:rsidR="00481801" w:rsidRPr="006314C9">
        <w:rPr>
          <w:lang w:val="en-GB"/>
        </w:rPr>
        <w:t>o</w:t>
      </w:r>
      <w:r w:rsidRPr="006314C9">
        <w:rPr>
          <w:lang w:val="en-GB"/>
        </w:rPr>
        <w:t>w enforcement mechanisms.</w:t>
      </w:r>
    </w:p>
    <w:p w:rsidR="00521A8F" w:rsidRPr="006314C9" w:rsidRDefault="00521A8F" w:rsidP="00152F5E">
      <w:pPr>
        <w:rPr>
          <w:rFonts w:cs="Times New Roman"/>
          <w:lang w:val="en-GB"/>
        </w:rPr>
      </w:pPr>
      <w:r w:rsidRPr="006314C9">
        <w:rPr>
          <w:rFonts w:cs="Times New Roman"/>
          <w:b/>
          <w:lang w:val="en-GB"/>
        </w:rPr>
        <w:t>Administrative capacity</w:t>
      </w:r>
    </w:p>
    <w:p w:rsidR="00521A8F" w:rsidRPr="006314C9" w:rsidRDefault="00521A8F" w:rsidP="002724D6">
      <w:pPr>
        <w:rPr>
          <w:lang w:val="en-GB"/>
        </w:rPr>
      </w:pPr>
      <w:r w:rsidRPr="006314C9">
        <w:rPr>
          <w:lang w:val="en-GB"/>
        </w:rPr>
        <w:t>The main institution responsible for the implementation of directives/regulations under nature sub-chapter is the Ministry of Tourism and Environment (General Directorate for Environmental Policies - Directorate for Environmental Policies and Strategies). However, other relevant institutions of MTE have an important stake at the implementation such as National Environmental Agency</w:t>
      </w:r>
      <w:r w:rsidR="004D3AC9" w:rsidRPr="006314C9">
        <w:rPr>
          <w:lang w:val="en-GB"/>
        </w:rPr>
        <w:t xml:space="preserve"> (NEA)</w:t>
      </w:r>
      <w:r w:rsidRPr="006314C9">
        <w:rPr>
          <w:lang w:val="en-GB"/>
        </w:rPr>
        <w:t>, National Agency for Protected Areas (NAPA), State Inspectorate on Environment, Forests, Water and Tourism.</w:t>
      </w:r>
    </w:p>
    <w:p w:rsidR="00521A8F" w:rsidRPr="006314C9" w:rsidRDefault="00521A8F" w:rsidP="00152F5E">
      <w:pPr>
        <w:rPr>
          <w:rFonts w:cs="Times New Roman"/>
          <w:lang w:val="en-GB"/>
        </w:rPr>
      </w:pPr>
      <w:r w:rsidRPr="006314C9">
        <w:rPr>
          <w:rFonts w:cs="Times New Roman"/>
          <w:lang w:val="en-GB"/>
        </w:rPr>
        <w:t>The National Agency for Protected Areas has the overall responsibility for the management of protected areas in Albania. NAPA has 274 staff, of which 24 are based in the headquarters in Tirana and the rest is organized in 12 regional directorates. Each Regional Administration of Protected Areas (RAPA) has a monitoring and a management section with various number</w:t>
      </w:r>
      <w:r w:rsidR="002724D6" w:rsidRPr="006314C9">
        <w:rPr>
          <w:rFonts w:cs="Times New Roman"/>
          <w:lang w:val="en-GB"/>
        </w:rPr>
        <w:t>s</w:t>
      </w:r>
      <w:r w:rsidRPr="006314C9">
        <w:rPr>
          <w:rFonts w:cs="Times New Roman"/>
          <w:lang w:val="en-GB"/>
        </w:rPr>
        <w:t xml:space="preserve"> of specialists. The overall number includes 108 rangers, who are site based and directly responsible for the monitoring and surveillance of the </w:t>
      </w:r>
      <w:r w:rsidR="00481801" w:rsidRPr="006314C9">
        <w:rPr>
          <w:rFonts w:cs="Times New Roman"/>
          <w:lang w:val="en-GB"/>
        </w:rPr>
        <w:t xml:space="preserve">protected </w:t>
      </w:r>
      <w:r w:rsidRPr="006314C9">
        <w:rPr>
          <w:rFonts w:cs="Times New Roman"/>
          <w:lang w:val="en-GB"/>
        </w:rPr>
        <w:t xml:space="preserve">area. </w:t>
      </w:r>
    </w:p>
    <w:p w:rsidR="00521A8F" w:rsidRPr="006314C9" w:rsidRDefault="00521A8F" w:rsidP="00152F5E">
      <w:pPr>
        <w:rPr>
          <w:rFonts w:cs="Times New Roman"/>
          <w:lang w:val="en-GB"/>
        </w:rPr>
      </w:pPr>
      <w:r w:rsidRPr="006314C9">
        <w:rPr>
          <w:rFonts w:cs="Times New Roman"/>
          <w:lang w:val="en-GB"/>
        </w:rPr>
        <w:t xml:space="preserve">Although the main scope is nature protection, some of the directives/regulations require control of customs and/or markets, or shared responsibilities on the management of natural resources, which mean a closer cooperation with other institutions (Ministry of </w:t>
      </w:r>
      <w:r w:rsidR="00425740" w:rsidRPr="006314C9">
        <w:rPr>
          <w:rFonts w:cs="Times New Roman"/>
          <w:lang w:val="en-GB"/>
        </w:rPr>
        <w:t xml:space="preserve">Finance and </w:t>
      </w:r>
      <w:r w:rsidRPr="006314C9">
        <w:rPr>
          <w:rFonts w:cs="Times New Roman"/>
          <w:lang w:val="en-GB"/>
        </w:rPr>
        <w:t>Economy, Customs office, Ministry of Agriculture and Rural Development, Municipalities, etc.). In this regard, clear procedures and cooperation agreements must be developed and enforced.</w:t>
      </w:r>
      <w:r w:rsidR="00481801" w:rsidRPr="006314C9">
        <w:rPr>
          <w:rFonts w:cs="Times New Roman"/>
          <w:lang w:val="en-GB"/>
        </w:rPr>
        <w:t xml:space="preserve"> Custom office will need to increase its knowledge and capacity for implementation of CITES regulation. </w:t>
      </w:r>
    </w:p>
    <w:p w:rsidR="00521A8F" w:rsidRPr="006314C9" w:rsidRDefault="00521A8F" w:rsidP="00152F5E">
      <w:pPr>
        <w:rPr>
          <w:rFonts w:cs="Times New Roman"/>
          <w:lang w:val="en-GB"/>
        </w:rPr>
      </w:pPr>
      <w:r w:rsidRPr="006314C9">
        <w:rPr>
          <w:rFonts w:cs="Times New Roman"/>
          <w:lang w:val="en-GB"/>
        </w:rPr>
        <w:t>Implementation of regulations/directives under this sub</w:t>
      </w:r>
      <w:r w:rsidR="004D3AC9" w:rsidRPr="006314C9">
        <w:rPr>
          <w:rFonts w:cs="Times New Roman"/>
          <w:lang w:val="en-GB"/>
        </w:rPr>
        <w:t>-</w:t>
      </w:r>
      <w:r w:rsidRPr="006314C9">
        <w:rPr>
          <w:rFonts w:cs="Times New Roman"/>
          <w:lang w:val="en-GB"/>
        </w:rPr>
        <w:t>chapter requires close cooperation with academia/universities and civil society organizations. Appropriate mechanisms should be developed to guarantee their involvement and scientific contribution on the implementation process.</w:t>
      </w:r>
    </w:p>
    <w:p w:rsidR="00521A8F" w:rsidRPr="006314C9" w:rsidRDefault="00521A8F" w:rsidP="00152F5E">
      <w:pPr>
        <w:rPr>
          <w:rFonts w:cs="Times New Roman"/>
          <w:lang w:val="en-GB"/>
        </w:rPr>
      </w:pPr>
      <w:r w:rsidRPr="006314C9">
        <w:rPr>
          <w:rFonts w:cs="Times New Roman"/>
          <w:lang w:val="en-GB"/>
        </w:rPr>
        <w:t>At an overall assessment, relevant institutions are set up but their capacities are weak both in numbers</w:t>
      </w:r>
      <w:r w:rsidR="00E11140" w:rsidRPr="006314C9">
        <w:rPr>
          <w:rFonts w:cs="Times New Roman"/>
          <w:lang w:val="en-GB"/>
        </w:rPr>
        <w:t xml:space="preserve">, equipment and </w:t>
      </w:r>
      <w:r w:rsidRPr="006314C9">
        <w:rPr>
          <w:rFonts w:cs="Times New Roman"/>
          <w:lang w:val="en-GB"/>
        </w:rPr>
        <w:t>skills required for implementation of EU directives and regulations. Particularly capacities related to monitoring, law enforcement and implementation of conservation measures must be further developed. Clear mechanisms and procedures for permitting, licensing, derogation and public consultation must be developed and implemented.</w:t>
      </w:r>
    </w:p>
    <w:p w:rsidR="00521A8F" w:rsidRPr="006314C9" w:rsidRDefault="00521A8F" w:rsidP="00152F5E">
      <w:pPr>
        <w:rPr>
          <w:rFonts w:cs="Times New Roman"/>
          <w:lang w:val="en-GB"/>
        </w:rPr>
      </w:pPr>
      <w:r w:rsidRPr="006314C9">
        <w:rPr>
          <w:rFonts w:cs="Times New Roman"/>
          <w:lang w:val="en-GB"/>
        </w:rPr>
        <w:t xml:space="preserve">So far, nature conservation activities are mostly funded by donor contributions. The proportion of financial support from the state budget should increase significantly to provide for the implementation of monitoring activities and conservation measures required by the directives/regulations. Additional financing should support continuous capacity building and improved institutional set </w:t>
      </w:r>
      <w:proofErr w:type="spellStart"/>
      <w:r w:rsidRPr="006314C9">
        <w:rPr>
          <w:rFonts w:cs="Times New Roman"/>
          <w:lang w:val="en-GB"/>
        </w:rPr>
        <w:t>up.</w:t>
      </w:r>
      <w:r w:rsidR="00E11140" w:rsidRPr="006314C9">
        <w:rPr>
          <w:rFonts w:cs="Times New Roman"/>
          <w:lang w:val="en-GB"/>
        </w:rPr>
        <w:t>Well</w:t>
      </w:r>
      <w:proofErr w:type="spellEnd"/>
      <w:r w:rsidR="00E11140" w:rsidRPr="006314C9">
        <w:rPr>
          <w:rFonts w:cs="Times New Roman"/>
          <w:lang w:val="en-GB"/>
        </w:rPr>
        <w:t xml:space="preserve"> designed information system for nature protection can contribute to better data gathering and reporting.  </w:t>
      </w:r>
    </w:p>
    <w:p w:rsidR="00521A8F" w:rsidRPr="006314C9" w:rsidRDefault="00521A8F" w:rsidP="00152F5E">
      <w:pPr>
        <w:rPr>
          <w:rFonts w:cs="Times New Roman"/>
          <w:lang w:val="en-GB"/>
        </w:rPr>
      </w:pPr>
      <w:r w:rsidRPr="006314C9">
        <w:rPr>
          <w:rFonts w:cs="Times New Roman"/>
          <w:lang w:val="en-GB"/>
        </w:rPr>
        <w:t>For some directives/regulations (e.g., Seal skins and seal pups) there is little interest for their implementation as considered not relevant for the country.</w:t>
      </w:r>
    </w:p>
    <w:p w:rsidR="00521A8F" w:rsidRPr="006314C9" w:rsidRDefault="00521A8F" w:rsidP="00152F5E">
      <w:pPr>
        <w:rPr>
          <w:rFonts w:cs="Times New Roman"/>
          <w:b/>
          <w:lang w:val="en-GB"/>
        </w:rPr>
      </w:pPr>
      <w:r w:rsidRPr="006314C9">
        <w:rPr>
          <w:rFonts w:cs="Times New Roman"/>
          <w:b/>
          <w:lang w:val="en-GB"/>
        </w:rPr>
        <w:t xml:space="preserve">Summary </w:t>
      </w:r>
    </w:p>
    <w:tbl>
      <w:tblPr>
        <w:tblStyle w:val="TableGrid"/>
        <w:tblW w:w="5000" w:type="pct"/>
        <w:tblLook w:val="04A0"/>
      </w:tblPr>
      <w:tblGrid>
        <w:gridCol w:w="2393"/>
        <w:gridCol w:w="2395"/>
        <w:gridCol w:w="2393"/>
        <w:gridCol w:w="2395"/>
      </w:tblGrid>
      <w:tr w:rsidR="00521A8F" w:rsidRPr="006314C9" w:rsidTr="002724D6">
        <w:tc>
          <w:tcPr>
            <w:tcW w:w="2337" w:type="dxa"/>
          </w:tcPr>
          <w:p w:rsidR="00521A8F" w:rsidRPr="006314C9" w:rsidRDefault="002F0A16" w:rsidP="00750C45">
            <w:pPr>
              <w:spacing w:beforeLines="60" w:afterLines="60"/>
              <w:contextualSpacing/>
              <w:jc w:val="center"/>
              <w:rPr>
                <w:rFonts w:cs="Times New Roman"/>
                <w:b/>
                <w:sz w:val="20"/>
                <w:szCs w:val="20"/>
                <w:lang w:val="en-GB"/>
              </w:rPr>
            </w:pPr>
            <w:r w:rsidRPr="006314C9">
              <w:rPr>
                <w:rFonts w:cs="Times New Roman"/>
                <w:b/>
                <w:sz w:val="20"/>
                <w:szCs w:val="20"/>
                <w:lang w:val="en-GB"/>
              </w:rPr>
              <w:t>Directive/regulation</w:t>
            </w:r>
          </w:p>
        </w:tc>
        <w:tc>
          <w:tcPr>
            <w:tcW w:w="2338" w:type="dxa"/>
          </w:tcPr>
          <w:p w:rsidR="00362049" w:rsidRPr="006314C9" w:rsidRDefault="002F0A16" w:rsidP="00750C45">
            <w:pPr>
              <w:spacing w:beforeLines="60" w:afterLines="60"/>
              <w:contextualSpacing/>
              <w:jc w:val="center"/>
              <w:rPr>
                <w:rFonts w:cs="Times New Roman"/>
                <w:b/>
                <w:sz w:val="20"/>
                <w:szCs w:val="20"/>
                <w:lang w:val="en-GB"/>
              </w:rPr>
            </w:pPr>
            <w:r w:rsidRPr="006314C9">
              <w:rPr>
                <w:rFonts w:cs="Times New Roman"/>
                <w:b/>
                <w:sz w:val="20"/>
                <w:szCs w:val="20"/>
                <w:lang w:val="en-GB"/>
              </w:rPr>
              <w:t>Main competent authority</w:t>
            </w:r>
          </w:p>
        </w:tc>
        <w:tc>
          <w:tcPr>
            <w:tcW w:w="2337" w:type="dxa"/>
          </w:tcPr>
          <w:p w:rsidR="00590337" w:rsidRPr="006314C9" w:rsidRDefault="002F0A16" w:rsidP="00750C45">
            <w:pPr>
              <w:spacing w:beforeLines="60" w:afterLines="60"/>
              <w:contextualSpacing/>
              <w:jc w:val="center"/>
              <w:rPr>
                <w:rFonts w:cs="Times New Roman"/>
                <w:b/>
                <w:sz w:val="20"/>
                <w:szCs w:val="20"/>
                <w:lang w:val="en-GB"/>
              </w:rPr>
            </w:pPr>
            <w:r w:rsidRPr="006314C9">
              <w:rPr>
                <w:rFonts w:cs="Times New Roman"/>
                <w:b/>
                <w:sz w:val="20"/>
                <w:szCs w:val="20"/>
                <w:lang w:val="en-GB"/>
              </w:rPr>
              <w:t>Level of transposition</w:t>
            </w:r>
          </w:p>
        </w:tc>
        <w:tc>
          <w:tcPr>
            <w:tcW w:w="2338" w:type="dxa"/>
          </w:tcPr>
          <w:p w:rsidR="00590337" w:rsidRPr="006314C9" w:rsidRDefault="002F0A16" w:rsidP="00750C45">
            <w:pPr>
              <w:spacing w:beforeLines="60" w:afterLines="60"/>
              <w:contextualSpacing/>
              <w:jc w:val="center"/>
              <w:rPr>
                <w:rFonts w:cs="Times New Roman"/>
                <w:b/>
                <w:sz w:val="20"/>
                <w:szCs w:val="20"/>
                <w:lang w:val="en-GB"/>
              </w:rPr>
            </w:pPr>
            <w:r w:rsidRPr="006314C9">
              <w:rPr>
                <w:rFonts w:cs="Times New Roman"/>
                <w:b/>
                <w:sz w:val="20"/>
                <w:szCs w:val="20"/>
                <w:lang w:val="en-GB"/>
              </w:rPr>
              <w:t>Level of implementation</w:t>
            </w:r>
          </w:p>
        </w:tc>
      </w:tr>
      <w:tr w:rsidR="00521A8F" w:rsidRPr="006314C9" w:rsidTr="002724D6">
        <w:tc>
          <w:tcPr>
            <w:tcW w:w="2337" w:type="dxa"/>
          </w:tcPr>
          <w:p w:rsidR="00521A8F" w:rsidRPr="006314C9" w:rsidRDefault="002F0A16" w:rsidP="00750C45">
            <w:pPr>
              <w:spacing w:beforeLines="60" w:afterLines="60"/>
              <w:contextualSpacing/>
              <w:rPr>
                <w:rFonts w:cs="Times New Roman"/>
                <w:sz w:val="20"/>
                <w:szCs w:val="20"/>
                <w:lang w:val="en-GB"/>
              </w:rPr>
            </w:pPr>
            <w:r w:rsidRPr="006314C9">
              <w:rPr>
                <w:rFonts w:cs="Times New Roman"/>
                <w:sz w:val="20"/>
                <w:szCs w:val="20"/>
                <w:lang w:val="en-GB"/>
              </w:rPr>
              <w:t>2009/147/EEC</w:t>
            </w:r>
          </w:p>
          <w:p w:rsidR="00362049" w:rsidRPr="006314C9" w:rsidRDefault="00B95D6A" w:rsidP="00750C45">
            <w:pPr>
              <w:spacing w:beforeLines="60" w:afterLines="60"/>
              <w:contextualSpacing/>
              <w:rPr>
                <w:rFonts w:cs="Times New Roman"/>
                <w:b/>
                <w:i/>
                <w:sz w:val="20"/>
                <w:szCs w:val="20"/>
                <w:lang w:val="en-GB"/>
              </w:rPr>
            </w:pPr>
            <w:r w:rsidRPr="006314C9">
              <w:rPr>
                <w:rFonts w:cs="Times New Roman"/>
                <w:b/>
                <w:i/>
                <w:sz w:val="20"/>
                <w:szCs w:val="20"/>
                <w:lang w:val="en-GB"/>
              </w:rPr>
              <w:t>Wild Birds</w:t>
            </w:r>
          </w:p>
        </w:tc>
        <w:tc>
          <w:tcPr>
            <w:tcW w:w="2338"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NAPA</w:t>
            </w:r>
          </w:p>
        </w:tc>
        <w:tc>
          <w:tcPr>
            <w:tcW w:w="2337"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Partially;</w:t>
            </w:r>
          </w:p>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65% </w:t>
            </w:r>
          </w:p>
        </w:tc>
        <w:tc>
          <w:tcPr>
            <w:tcW w:w="2338"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tc>
      </w:tr>
      <w:tr w:rsidR="00521A8F" w:rsidRPr="006314C9" w:rsidTr="002724D6">
        <w:tc>
          <w:tcPr>
            <w:tcW w:w="2337" w:type="dxa"/>
          </w:tcPr>
          <w:p w:rsidR="00521A8F"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92/43/EEC</w:t>
            </w:r>
          </w:p>
          <w:p w:rsidR="00362049" w:rsidRPr="006314C9" w:rsidRDefault="00B95D6A" w:rsidP="00750C45">
            <w:pPr>
              <w:spacing w:beforeLines="60" w:afterLines="60"/>
              <w:contextualSpacing/>
              <w:jc w:val="left"/>
              <w:rPr>
                <w:rFonts w:cs="Times New Roman"/>
                <w:b/>
                <w:i/>
                <w:sz w:val="20"/>
                <w:szCs w:val="20"/>
                <w:lang w:val="en-GB"/>
              </w:rPr>
            </w:pPr>
            <w:r w:rsidRPr="006314C9">
              <w:rPr>
                <w:rFonts w:cs="Times New Roman"/>
                <w:b/>
                <w:i/>
                <w:sz w:val="20"/>
                <w:szCs w:val="20"/>
                <w:lang w:val="en-GB"/>
              </w:rPr>
              <w:t>Habitats</w:t>
            </w:r>
          </w:p>
        </w:tc>
        <w:tc>
          <w:tcPr>
            <w:tcW w:w="2338"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NAPA</w:t>
            </w:r>
          </w:p>
        </w:tc>
        <w:tc>
          <w:tcPr>
            <w:tcW w:w="2337"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Advanced;</w:t>
            </w:r>
          </w:p>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86% </w:t>
            </w:r>
          </w:p>
        </w:tc>
        <w:tc>
          <w:tcPr>
            <w:tcW w:w="2338"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tc>
      </w:tr>
      <w:tr w:rsidR="00521A8F" w:rsidRPr="006314C9" w:rsidTr="002724D6">
        <w:tc>
          <w:tcPr>
            <w:tcW w:w="2337" w:type="dxa"/>
          </w:tcPr>
          <w:p w:rsidR="00521A8F"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lastRenderedPageBreak/>
              <w:t>1999/22/EC</w:t>
            </w:r>
          </w:p>
          <w:p w:rsidR="00362049" w:rsidRPr="006314C9" w:rsidRDefault="00B95D6A" w:rsidP="00750C45">
            <w:pPr>
              <w:spacing w:beforeLines="60" w:afterLines="60"/>
              <w:contextualSpacing/>
              <w:jc w:val="left"/>
              <w:rPr>
                <w:rFonts w:cs="Times New Roman"/>
                <w:b/>
                <w:i/>
                <w:sz w:val="20"/>
                <w:szCs w:val="20"/>
                <w:lang w:val="en-GB"/>
              </w:rPr>
            </w:pPr>
            <w:r w:rsidRPr="006314C9">
              <w:rPr>
                <w:rFonts w:cs="Times New Roman"/>
                <w:b/>
                <w:i/>
                <w:sz w:val="20"/>
                <w:szCs w:val="20"/>
                <w:lang w:val="en-GB"/>
              </w:rPr>
              <w:t>Zoo</w:t>
            </w:r>
          </w:p>
        </w:tc>
        <w:tc>
          <w:tcPr>
            <w:tcW w:w="2338" w:type="dxa"/>
          </w:tcPr>
          <w:p w:rsidR="00590337" w:rsidRPr="006314C9" w:rsidRDefault="002F0A16" w:rsidP="00750C45">
            <w:pPr>
              <w:spacing w:beforeLines="60" w:afterLines="60"/>
              <w:contextualSpacing/>
              <w:jc w:val="left"/>
              <w:rPr>
                <w:rFonts w:cs="Times New Roman"/>
                <w:b/>
                <w:color w:val="000000" w:themeColor="text1"/>
                <w:sz w:val="20"/>
                <w:szCs w:val="20"/>
                <w:lang w:val="en-GB"/>
              </w:rPr>
            </w:pPr>
            <w:r w:rsidRPr="006314C9">
              <w:rPr>
                <w:rFonts w:cs="Times New Roman"/>
                <w:sz w:val="20"/>
                <w:szCs w:val="20"/>
                <w:lang w:val="en-GB"/>
              </w:rPr>
              <w:t>MTE</w:t>
            </w:r>
          </w:p>
        </w:tc>
        <w:tc>
          <w:tcPr>
            <w:tcW w:w="2337"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Partially;</w:t>
            </w:r>
          </w:p>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50%</w:t>
            </w:r>
          </w:p>
        </w:tc>
        <w:tc>
          <w:tcPr>
            <w:tcW w:w="2338"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tc>
      </w:tr>
      <w:tr w:rsidR="00521A8F" w:rsidRPr="006314C9" w:rsidTr="002724D6">
        <w:tc>
          <w:tcPr>
            <w:tcW w:w="2337" w:type="dxa"/>
          </w:tcPr>
          <w:p w:rsidR="00521A8F"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EEC/3254/91</w:t>
            </w:r>
          </w:p>
          <w:p w:rsidR="00521A8F" w:rsidRPr="006314C9" w:rsidRDefault="00B95D6A" w:rsidP="00750C45">
            <w:pPr>
              <w:spacing w:beforeLines="60" w:afterLines="60"/>
              <w:contextualSpacing/>
              <w:jc w:val="left"/>
              <w:rPr>
                <w:rFonts w:cs="Times New Roman"/>
                <w:b/>
                <w:i/>
                <w:sz w:val="20"/>
                <w:szCs w:val="20"/>
                <w:lang w:val="en-GB"/>
              </w:rPr>
            </w:pPr>
            <w:proofErr w:type="spellStart"/>
            <w:r w:rsidRPr="006314C9">
              <w:rPr>
                <w:rFonts w:cs="Times New Roman"/>
                <w:b/>
                <w:i/>
                <w:sz w:val="20"/>
                <w:szCs w:val="20"/>
                <w:lang w:val="en-GB"/>
              </w:rPr>
              <w:t>Leghold</w:t>
            </w:r>
            <w:proofErr w:type="spellEnd"/>
            <w:r w:rsidRPr="006314C9">
              <w:rPr>
                <w:rFonts w:cs="Times New Roman"/>
                <w:b/>
                <w:i/>
                <w:sz w:val="20"/>
                <w:szCs w:val="20"/>
                <w:lang w:val="en-GB"/>
              </w:rPr>
              <w:t xml:space="preserve"> Traps</w:t>
            </w:r>
          </w:p>
        </w:tc>
        <w:tc>
          <w:tcPr>
            <w:tcW w:w="2338" w:type="dxa"/>
          </w:tcPr>
          <w:p w:rsidR="00590337" w:rsidRPr="006314C9" w:rsidRDefault="006233A9"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SIEFWT</w:t>
            </w:r>
          </w:p>
        </w:tc>
        <w:tc>
          <w:tcPr>
            <w:tcW w:w="2337" w:type="dxa"/>
          </w:tcPr>
          <w:p w:rsidR="00877C7C"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Not transposed</w:t>
            </w:r>
            <w:r w:rsidR="00877C7C" w:rsidRPr="006314C9">
              <w:rPr>
                <w:rFonts w:cs="Times New Roman"/>
                <w:sz w:val="20"/>
                <w:szCs w:val="20"/>
                <w:lang w:val="en-GB"/>
              </w:rPr>
              <w:t>;</w:t>
            </w:r>
          </w:p>
          <w:p w:rsidR="00877C7C" w:rsidRPr="006314C9" w:rsidRDefault="00877C7C" w:rsidP="00750C45">
            <w:pPr>
              <w:spacing w:beforeLines="60" w:afterLines="60"/>
              <w:contextualSpacing/>
              <w:jc w:val="left"/>
              <w:rPr>
                <w:rFonts w:cs="Times New Roman"/>
                <w:sz w:val="20"/>
                <w:szCs w:val="20"/>
                <w:lang w:val="en-GB"/>
              </w:rPr>
            </w:pPr>
            <w:r w:rsidRPr="006314C9">
              <w:rPr>
                <w:rFonts w:cs="Times New Roman"/>
                <w:sz w:val="20"/>
                <w:szCs w:val="20"/>
                <w:lang w:val="en-GB"/>
              </w:rPr>
              <w:t>6 %</w:t>
            </w:r>
          </w:p>
        </w:tc>
        <w:tc>
          <w:tcPr>
            <w:tcW w:w="2338" w:type="dxa"/>
          </w:tcPr>
          <w:p w:rsidR="001970C3" w:rsidRPr="006314C9" w:rsidRDefault="0085040C" w:rsidP="00750C45">
            <w:pPr>
              <w:spacing w:beforeLines="60" w:afterLines="60"/>
              <w:contextualSpacing/>
              <w:jc w:val="left"/>
              <w:rPr>
                <w:rFonts w:cs="Times New Roman"/>
                <w:sz w:val="20"/>
                <w:szCs w:val="20"/>
                <w:lang w:val="en-GB"/>
              </w:rPr>
            </w:pPr>
            <w:r w:rsidRPr="006314C9">
              <w:rPr>
                <w:rFonts w:eastAsia="Times New Roman" w:cs="Times New Roman"/>
                <w:color w:val="000000"/>
                <w:sz w:val="20"/>
                <w:szCs w:val="20"/>
                <w:lang w:val="en-GB"/>
              </w:rPr>
              <w:t xml:space="preserve">Not </w:t>
            </w:r>
            <w:r w:rsidR="00877C7C" w:rsidRPr="006314C9">
              <w:rPr>
                <w:rFonts w:eastAsia="Times New Roman" w:cs="Times New Roman"/>
                <w:color w:val="000000"/>
                <w:sz w:val="20"/>
                <w:szCs w:val="20"/>
                <w:lang w:val="en-GB"/>
              </w:rPr>
              <w:t>implemented</w:t>
            </w:r>
          </w:p>
        </w:tc>
      </w:tr>
      <w:tr w:rsidR="00521A8F" w:rsidRPr="006314C9" w:rsidTr="002724D6">
        <w:tc>
          <w:tcPr>
            <w:tcW w:w="2337" w:type="dxa"/>
          </w:tcPr>
          <w:p w:rsidR="00521A8F"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EC/338/97</w:t>
            </w:r>
          </w:p>
          <w:p w:rsidR="00521A8F" w:rsidRPr="006314C9" w:rsidRDefault="00B95D6A" w:rsidP="00750C45">
            <w:pPr>
              <w:spacing w:beforeLines="60" w:afterLines="60"/>
              <w:contextualSpacing/>
              <w:jc w:val="left"/>
              <w:rPr>
                <w:rFonts w:cs="Times New Roman"/>
                <w:i/>
                <w:sz w:val="20"/>
                <w:szCs w:val="20"/>
                <w:lang w:val="en-GB"/>
              </w:rPr>
            </w:pPr>
            <w:r w:rsidRPr="006314C9">
              <w:rPr>
                <w:rFonts w:cs="Times New Roman"/>
                <w:b/>
                <w:i/>
                <w:sz w:val="20"/>
                <w:szCs w:val="20"/>
                <w:lang w:val="en-GB"/>
              </w:rPr>
              <w:t>CITES</w:t>
            </w:r>
          </w:p>
        </w:tc>
        <w:tc>
          <w:tcPr>
            <w:tcW w:w="2338"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p w:rsidR="00590337" w:rsidRPr="006314C9" w:rsidRDefault="00B95D6A" w:rsidP="00750C45">
            <w:pPr>
              <w:spacing w:beforeLines="60" w:afterLines="60"/>
              <w:contextualSpacing/>
              <w:jc w:val="left"/>
              <w:rPr>
                <w:rFonts w:cs="Times New Roman"/>
                <w:sz w:val="20"/>
                <w:szCs w:val="20"/>
                <w:lang w:val="en-GB"/>
              </w:rPr>
            </w:pPr>
            <w:r w:rsidRPr="006314C9">
              <w:rPr>
                <w:rFonts w:cs="Times New Roman"/>
                <w:sz w:val="20"/>
                <w:szCs w:val="20"/>
                <w:lang w:val="en-GB"/>
              </w:rPr>
              <w:t>SIEFWT</w:t>
            </w:r>
          </w:p>
        </w:tc>
        <w:tc>
          <w:tcPr>
            <w:tcW w:w="2337" w:type="dxa"/>
          </w:tcPr>
          <w:p w:rsidR="00590337" w:rsidRPr="006314C9" w:rsidRDefault="00B95D6A" w:rsidP="00750C45">
            <w:pPr>
              <w:spacing w:beforeLines="60" w:afterLines="60"/>
              <w:contextualSpacing/>
              <w:jc w:val="left"/>
              <w:rPr>
                <w:rFonts w:cs="Times New Roman"/>
                <w:sz w:val="20"/>
                <w:szCs w:val="20"/>
                <w:lang w:val="en-GB"/>
              </w:rPr>
            </w:pPr>
            <w:r w:rsidRPr="006314C9">
              <w:rPr>
                <w:rFonts w:cs="Times New Roman"/>
                <w:sz w:val="20"/>
                <w:szCs w:val="20"/>
                <w:lang w:val="en-GB"/>
              </w:rPr>
              <w:t>Partially;</w:t>
            </w:r>
          </w:p>
          <w:p w:rsidR="001970C3" w:rsidRPr="006314C9" w:rsidRDefault="00B95D6A" w:rsidP="00750C45">
            <w:pPr>
              <w:spacing w:beforeLines="60" w:afterLines="60"/>
              <w:contextualSpacing/>
              <w:jc w:val="left"/>
              <w:rPr>
                <w:rFonts w:cs="Times New Roman"/>
                <w:sz w:val="20"/>
                <w:szCs w:val="20"/>
                <w:lang w:val="en-GB"/>
              </w:rPr>
            </w:pPr>
            <w:r w:rsidRPr="006314C9">
              <w:rPr>
                <w:rFonts w:cs="Times New Roman"/>
                <w:sz w:val="20"/>
                <w:szCs w:val="20"/>
                <w:lang w:val="en-GB"/>
              </w:rPr>
              <w:t>56</w:t>
            </w:r>
            <w:r w:rsidR="002F0A16" w:rsidRPr="006314C9">
              <w:rPr>
                <w:rFonts w:cs="Times New Roman"/>
                <w:sz w:val="20"/>
                <w:szCs w:val="20"/>
                <w:lang w:val="en-GB"/>
              </w:rPr>
              <w:t>%</w:t>
            </w:r>
          </w:p>
        </w:tc>
        <w:tc>
          <w:tcPr>
            <w:tcW w:w="2338" w:type="dxa"/>
          </w:tcPr>
          <w:p w:rsidR="001970C3" w:rsidRPr="006314C9" w:rsidRDefault="00B95D6A" w:rsidP="00750C45">
            <w:pPr>
              <w:spacing w:beforeLines="60" w:afterLines="60"/>
              <w:contextualSpacing/>
              <w:jc w:val="left"/>
              <w:rPr>
                <w:rFonts w:cs="Times New Roman"/>
                <w:sz w:val="20"/>
                <w:szCs w:val="20"/>
                <w:lang w:val="en-GB"/>
              </w:rPr>
            </w:pPr>
            <w:r w:rsidRPr="006314C9">
              <w:rPr>
                <w:rFonts w:cs="Times New Roman"/>
                <w:sz w:val="20"/>
                <w:szCs w:val="20"/>
                <w:lang w:val="en-GB"/>
              </w:rPr>
              <w:t>Partially</w:t>
            </w:r>
            <w:r w:rsidR="002F0A16" w:rsidRPr="006314C9">
              <w:rPr>
                <w:rFonts w:cs="Times New Roman"/>
                <w:sz w:val="20"/>
                <w:szCs w:val="20"/>
                <w:lang w:val="en-GB"/>
              </w:rPr>
              <w:t xml:space="preserve"> implemented</w:t>
            </w:r>
          </w:p>
        </w:tc>
      </w:tr>
      <w:tr w:rsidR="00521A8F" w:rsidRPr="006314C9" w:rsidTr="002724D6">
        <w:tc>
          <w:tcPr>
            <w:tcW w:w="2337" w:type="dxa"/>
          </w:tcPr>
          <w:p w:rsidR="00521A8F" w:rsidRPr="006314C9" w:rsidRDefault="002F0A16" w:rsidP="00750C45">
            <w:pPr>
              <w:spacing w:beforeLines="60" w:afterLines="60"/>
              <w:contextualSpacing/>
              <w:jc w:val="left"/>
              <w:rPr>
                <w:rFonts w:cs="Times New Roman"/>
                <w:bCs/>
                <w:sz w:val="20"/>
                <w:szCs w:val="20"/>
                <w:lang w:val="en-GB"/>
              </w:rPr>
            </w:pPr>
            <w:r w:rsidRPr="006314C9">
              <w:rPr>
                <w:rFonts w:cs="Times New Roman"/>
                <w:bCs/>
                <w:sz w:val="20"/>
                <w:szCs w:val="20"/>
                <w:lang w:val="en-GB"/>
              </w:rPr>
              <w:t>2173/2005</w:t>
            </w:r>
          </w:p>
          <w:p w:rsidR="00521A8F" w:rsidRPr="006314C9" w:rsidRDefault="00B95D6A" w:rsidP="00750C45">
            <w:pPr>
              <w:spacing w:beforeLines="60" w:afterLines="60"/>
              <w:contextualSpacing/>
              <w:jc w:val="left"/>
              <w:rPr>
                <w:rFonts w:cs="Times New Roman"/>
                <w:b/>
                <w:i/>
                <w:sz w:val="20"/>
                <w:szCs w:val="20"/>
                <w:lang w:val="en-GB"/>
              </w:rPr>
            </w:pPr>
            <w:r w:rsidRPr="006314C9">
              <w:rPr>
                <w:rFonts w:cs="Times New Roman"/>
                <w:b/>
                <w:bCs/>
                <w:i/>
                <w:sz w:val="20"/>
                <w:szCs w:val="20"/>
                <w:lang w:val="en-GB"/>
              </w:rPr>
              <w:t>FLEGT</w:t>
            </w:r>
          </w:p>
        </w:tc>
        <w:tc>
          <w:tcPr>
            <w:tcW w:w="2338" w:type="dxa"/>
          </w:tcPr>
          <w:p w:rsidR="00590337" w:rsidRPr="006314C9" w:rsidRDefault="006233A9" w:rsidP="00750C45">
            <w:pPr>
              <w:spacing w:beforeLines="60" w:afterLines="60"/>
              <w:contextualSpacing/>
              <w:jc w:val="left"/>
              <w:rPr>
                <w:rFonts w:cs="Times New Roman"/>
                <w:sz w:val="20"/>
                <w:szCs w:val="20"/>
                <w:lang w:val="en-GB"/>
              </w:rPr>
            </w:pPr>
            <w:r w:rsidRPr="006314C9">
              <w:rPr>
                <w:rFonts w:cs="Times New Roman"/>
                <w:sz w:val="20"/>
                <w:szCs w:val="20"/>
                <w:lang w:val="en-GB"/>
              </w:rPr>
              <w:t>MARD</w:t>
            </w:r>
            <w:r w:rsidR="00D35EB7" w:rsidRPr="006314C9">
              <w:rPr>
                <w:rFonts w:cs="Times New Roman"/>
                <w:sz w:val="20"/>
                <w:szCs w:val="20"/>
                <w:lang w:val="en-GB"/>
              </w:rPr>
              <w:t xml:space="preserve"> (to be clarified with MTE)</w:t>
            </w:r>
          </w:p>
        </w:tc>
        <w:tc>
          <w:tcPr>
            <w:tcW w:w="2337"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Partially;</w:t>
            </w:r>
          </w:p>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36%</w:t>
            </w:r>
          </w:p>
        </w:tc>
        <w:tc>
          <w:tcPr>
            <w:tcW w:w="2338"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tc>
      </w:tr>
      <w:tr w:rsidR="00521A8F" w:rsidRPr="006314C9" w:rsidTr="002724D6">
        <w:tc>
          <w:tcPr>
            <w:tcW w:w="2337" w:type="dxa"/>
          </w:tcPr>
          <w:p w:rsidR="00521A8F"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995/2010</w:t>
            </w:r>
          </w:p>
          <w:p w:rsidR="00521A8F" w:rsidRPr="006314C9" w:rsidRDefault="00B95D6A" w:rsidP="00750C45">
            <w:pPr>
              <w:spacing w:beforeLines="60" w:afterLines="60"/>
              <w:contextualSpacing/>
              <w:jc w:val="left"/>
              <w:rPr>
                <w:rFonts w:cs="Times New Roman"/>
                <w:b/>
                <w:i/>
                <w:sz w:val="20"/>
                <w:szCs w:val="20"/>
                <w:lang w:val="en-GB"/>
              </w:rPr>
            </w:pPr>
            <w:r w:rsidRPr="006314C9">
              <w:rPr>
                <w:rFonts w:cs="Times New Roman"/>
                <w:b/>
                <w:bCs/>
                <w:i/>
                <w:sz w:val="20"/>
                <w:szCs w:val="20"/>
                <w:lang w:val="en-GB"/>
              </w:rPr>
              <w:t>EUTR</w:t>
            </w:r>
          </w:p>
        </w:tc>
        <w:tc>
          <w:tcPr>
            <w:tcW w:w="2338"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r w:rsidR="00D35EB7" w:rsidRPr="006314C9">
              <w:rPr>
                <w:rFonts w:cs="Times New Roman"/>
                <w:sz w:val="20"/>
                <w:szCs w:val="20"/>
                <w:lang w:val="en-GB"/>
              </w:rPr>
              <w:t xml:space="preserve"> (to be clarified with MARD)</w:t>
            </w:r>
          </w:p>
          <w:p w:rsidR="00590337" w:rsidRPr="006314C9" w:rsidRDefault="00590337" w:rsidP="00750C45">
            <w:pPr>
              <w:spacing w:beforeLines="60" w:afterLines="60"/>
              <w:contextualSpacing/>
              <w:jc w:val="left"/>
              <w:rPr>
                <w:rFonts w:cs="Times New Roman"/>
                <w:sz w:val="20"/>
                <w:szCs w:val="20"/>
                <w:lang w:val="en-GB"/>
              </w:rPr>
            </w:pPr>
          </w:p>
        </w:tc>
        <w:tc>
          <w:tcPr>
            <w:tcW w:w="2337" w:type="dxa"/>
          </w:tcPr>
          <w:p w:rsidR="00590337" w:rsidRPr="006314C9" w:rsidRDefault="00B95D6A" w:rsidP="00750C45">
            <w:pPr>
              <w:spacing w:beforeLines="60" w:afterLines="60"/>
              <w:contextualSpacing/>
              <w:jc w:val="left"/>
              <w:rPr>
                <w:rFonts w:cs="Times New Roman"/>
                <w:sz w:val="20"/>
                <w:szCs w:val="20"/>
                <w:lang w:val="en-GB"/>
              </w:rPr>
            </w:pPr>
            <w:r w:rsidRPr="006314C9">
              <w:rPr>
                <w:rFonts w:cs="Times New Roman"/>
                <w:sz w:val="20"/>
                <w:szCs w:val="20"/>
                <w:lang w:val="en-GB"/>
              </w:rPr>
              <w:t>Partially;</w:t>
            </w:r>
          </w:p>
          <w:p w:rsidR="001970C3" w:rsidRPr="006314C9" w:rsidRDefault="00B95D6A" w:rsidP="00750C45">
            <w:pPr>
              <w:spacing w:beforeLines="60" w:afterLines="60"/>
              <w:contextualSpacing/>
              <w:jc w:val="left"/>
              <w:rPr>
                <w:rFonts w:cs="Times New Roman"/>
                <w:sz w:val="20"/>
                <w:szCs w:val="20"/>
                <w:lang w:val="en-GB"/>
              </w:rPr>
            </w:pPr>
            <w:r w:rsidRPr="006314C9">
              <w:rPr>
                <w:rFonts w:cs="Times New Roman"/>
                <w:sz w:val="20"/>
                <w:szCs w:val="20"/>
                <w:lang w:val="en-GB"/>
              </w:rPr>
              <w:t>31</w:t>
            </w:r>
            <w:r w:rsidR="002F0A16" w:rsidRPr="006314C9">
              <w:rPr>
                <w:rFonts w:cs="Times New Roman"/>
                <w:sz w:val="20"/>
                <w:szCs w:val="20"/>
                <w:lang w:val="en-GB"/>
              </w:rPr>
              <w:t xml:space="preserve">% </w:t>
            </w:r>
          </w:p>
        </w:tc>
        <w:tc>
          <w:tcPr>
            <w:tcW w:w="2338" w:type="dxa"/>
          </w:tcPr>
          <w:p w:rsidR="001970C3"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Initial stage</w:t>
            </w:r>
          </w:p>
        </w:tc>
      </w:tr>
      <w:tr w:rsidR="00521A8F" w:rsidRPr="006314C9" w:rsidTr="002724D6">
        <w:tc>
          <w:tcPr>
            <w:tcW w:w="2337" w:type="dxa"/>
          </w:tcPr>
          <w:p w:rsidR="00521A8F"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Regulation 511/2014 </w:t>
            </w:r>
          </w:p>
          <w:p w:rsidR="00521A8F" w:rsidRPr="006314C9" w:rsidRDefault="00B95D6A" w:rsidP="00750C45">
            <w:pPr>
              <w:spacing w:beforeLines="60" w:afterLines="60"/>
              <w:contextualSpacing/>
              <w:jc w:val="left"/>
              <w:rPr>
                <w:rFonts w:cs="Times New Roman"/>
                <w:b/>
                <w:i/>
                <w:sz w:val="20"/>
                <w:szCs w:val="20"/>
                <w:lang w:val="en-GB"/>
              </w:rPr>
            </w:pPr>
            <w:r w:rsidRPr="006314C9">
              <w:rPr>
                <w:rFonts w:cs="Times New Roman"/>
                <w:b/>
                <w:i/>
                <w:sz w:val="20"/>
                <w:szCs w:val="20"/>
                <w:lang w:val="en-GB"/>
              </w:rPr>
              <w:t>ABS Regulation</w:t>
            </w:r>
          </w:p>
        </w:tc>
        <w:tc>
          <w:tcPr>
            <w:tcW w:w="2338"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MTE</w:t>
            </w:r>
          </w:p>
          <w:p w:rsidR="00590337" w:rsidRPr="006314C9" w:rsidRDefault="00B95D6A" w:rsidP="00750C45">
            <w:pPr>
              <w:spacing w:beforeLines="60" w:afterLines="60"/>
              <w:contextualSpacing/>
              <w:jc w:val="left"/>
              <w:rPr>
                <w:rFonts w:cs="Times New Roman"/>
                <w:sz w:val="20"/>
                <w:szCs w:val="20"/>
                <w:lang w:val="en-GB"/>
              </w:rPr>
            </w:pPr>
            <w:r w:rsidRPr="006314C9">
              <w:rPr>
                <w:rFonts w:cs="Times New Roman"/>
                <w:sz w:val="20"/>
                <w:szCs w:val="20"/>
                <w:lang w:val="en-GB"/>
              </w:rPr>
              <w:t>MARD</w:t>
            </w:r>
          </w:p>
        </w:tc>
        <w:tc>
          <w:tcPr>
            <w:tcW w:w="2337" w:type="dxa"/>
          </w:tcPr>
          <w:p w:rsidR="00590337" w:rsidRPr="006314C9" w:rsidRDefault="00B95D6A" w:rsidP="00750C45">
            <w:pPr>
              <w:spacing w:beforeLines="60" w:afterLines="60"/>
              <w:contextualSpacing/>
              <w:jc w:val="left"/>
              <w:rPr>
                <w:rFonts w:cs="Times New Roman"/>
                <w:sz w:val="20"/>
                <w:szCs w:val="20"/>
                <w:lang w:val="en-GB"/>
              </w:rPr>
            </w:pPr>
            <w:r w:rsidRPr="006314C9">
              <w:rPr>
                <w:rFonts w:cs="Times New Roman"/>
                <w:sz w:val="20"/>
                <w:szCs w:val="20"/>
                <w:lang w:val="en-GB"/>
              </w:rPr>
              <w:t>Not</w:t>
            </w:r>
            <w:r w:rsidR="002F0A16" w:rsidRPr="006314C9">
              <w:rPr>
                <w:rFonts w:cs="Times New Roman"/>
                <w:sz w:val="20"/>
                <w:szCs w:val="20"/>
                <w:lang w:val="en-GB"/>
              </w:rPr>
              <w:t xml:space="preserve"> transposed</w:t>
            </w:r>
          </w:p>
        </w:tc>
        <w:tc>
          <w:tcPr>
            <w:tcW w:w="2338" w:type="dxa"/>
          </w:tcPr>
          <w:p w:rsidR="001970C3" w:rsidRPr="006314C9" w:rsidRDefault="006233A9" w:rsidP="00750C45">
            <w:pPr>
              <w:spacing w:beforeLines="60" w:afterLines="60"/>
              <w:contextualSpacing/>
              <w:jc w:val="left"/>
              <w:rPr>
                <w:rFonts w:cs="Times New Roman"/>
                <w:sz w:val="20"/>
                <w:szCs w:val="20"/>
                <w:lang w:val="en-GB"/>
              </w:rPr>
            </w:pPr>
            <w:r w:rsidRPr="006314C9">
              <w:rPr>
                <w:rFonts w:eastAsia="Times New Roman" w:cs="Times New Roman"/>
                <w:color w:val="000000"/>
                <w:sz w:val="20"/>
                <w:szCs w:val="20"/>
                <w:lang w:val="en-GB"/>
              </w:rPr>
              <w:t>Not implemented</w:t>
            </w:r>
          </w:p>
        </w:tc>
      </w:tr>
      <w:tr w:rsidR="00521A8F" w:rsidRPr="006314C9" w:rsidTr="002724D6">
        <w:tc>
          <w:tcPr>
            <w:tcW w:w="2337" w:type="dxa"/>
          </w:tcPr>
          <w:p w:rsidR="00521A8F"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 xml:space="preserve">Regulation 1007/2009 </w:t>
            </w:r>
          </w:p>
          <w:p w:rsidR="00521A8F" w:rsidRPr="006314C9" w:rsidRDefault="00B95D6A" w:rsidP="00750C45">
            <w:pPr>
              <w:spacing w:beforeLines="60" w:afterLines="60"/>
              <w:contextualSpacing/>
              <w:jc w:val="left"/>
              <w:rPr>
                <w:rFonts w:cs="Times New Roman"/>
                <w:b/>
                <w:i/>
                <w:sz w:val="20"/>
                <w:szCs w:val="20"/>
                <w:lang w:val="en-GB"/>
              </w:rPr>
            </w:pPr>
            <w:r w:rsidRPr="006314C9">
              <w:rPr>
                <w:rFonts w:cs="Times New Roman"/>
                <w:b/>
                <w:i/>
                <w:sz w:val="20"/>
                <w:szCs w:val="20"/>
                <w:lang w:val="en-GB"/>
              </w:rPr>
              <w:t>Seal products</w:t>
            </w:r>
          </w:p>
        </w:tc>
        <w:tc>
          <w:tcPr>
            <w:tcW w:w="2338" w:type="dxa"/>
          </w:tcPr>
          <w:p w:rsidR="00590337" w:rsidRPr="006314C9" w:rsidRDefault="006233A9" w:rsidP="00750C45">
            <w:pPr>
              <w:spacing w:beforeLines="60" w:afterLines="60"/>
              <w:contextualSpacing/>
              <w:jc w:val="left"/>
              <w:rPr>
                <w:rFonts w:cs="Times New Roman"/>
                <w:sz w:val="20"/>
                <w:szCs w:val="20"/>
                <w:lang w:val="en-GB"/>
              </w:rPr>
            </w:pPr>
            <w:r w:rsidRPr="006314C9">
              <w:rPr>
                <w:rFonts w:cs="Times New Roman"/>
                <w:sz w:val="20"/>
                <w:szCs w:val="20"/>
                <w:lang w:val="en-GB"/>
              </w:rPr>
              <w:t>NAPA</w:t>
            </w:r>
          </w:p>
        </w:tc>
        <w:tc>
          <w:tcPr>
            <w:tcW w:w="2337"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Not transposed</w:t>
            </w:r>
          </w:p>
        </w:tc>
        <w:tc>
          <w:tcPr>
            <w:tcW w:w="2338" w:type="dxa"/>
          </w:tcPr>
          <w:p w:rsidR="00590337" w:rsidRPr="006314C9" w:rsidRDefault="006233A9" w:rsidP="00750C45">
            <w:pPr>
              <w:spacing w:beforeLines="60" w:afterLines="60"/>
              <w:contextualSpacing/>
              <w:jc w:val="left"/>
              <w:rPr>
                <w:rFonts w:cs="Times New Roman"/>
                <w:sz w:val="20"/>
                <w:szCs w:val="20"/>
                <w:lang w:val="en-GB"/>
              </w:rPr>
            </w:pPr>
            <w:r w:rsidRPr="006314C9">
              <w:rPr>
                <w:rFonts w:eastAsia="Times New Roman" w:cs="Times New Roman"/>
                <w:color w:val="000000"/>
                <w:sz w:val="20"/>
                <w:szCs w:val="20"/>
                <w:lang w:val="en-GB"/>
              </w:rPr>
              <w:t>Not implemented</w:t>
            </w:r>
          </w:p>
        </w:tc>
      </w:tr>
      <w:tr w:rsidR="00521A8F" w:rsidRPr="006314C9" w:rsidTr="002724D6">
        <w:tc>
          <w:tcPr>
            <w:tcW w:w="2337" w:type="dxa"/>
          </w:tcPr>
          <w:p w:rsidR="00521A8F"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83/129</w:t>
            </w:r>
          </w:p>
          <w:p w:rsidR="00521A8F" w:rsidRPr="006314C9" w:rsidRDefault="00B95D6A" w:rsidP="00750C45">
            <w:pPr>
              <w:spacing w:beforeLines="60" w:afterLines="60"/>
              <w:contextualSpacing/>
              <w:jc w:val="left"/>
              <w:rPr>
                <w:rFonts w:cs="Times New Roman"/>
                <w:b/>
                <w:i/>
                <w:sz w:val="20"/>
                <w:szCs w:val="20"/>
                <w:lang w:val="en-GB"/>
              </w:rPr>
            </w:pPr>
            <w:r w:rsidRPr="006314C9">
              <w:rPr>
                <w:rFonts w:cs="Times New Roman"/>
                <w:b/>
                <w:i/>
                <w:sz w:val="20"/>
                <w:szCs w:val="20"/>
                <w:lang w:val="en-GB"/>
              </w:rPr>
              <w:t>Skins</w:t>
            </w:r>
          </w:p>
        </w:tc>
        <w:tc>
          <w:tcPr>
            <w:tcW w:w="2338" w:type="dxa"/>
          </w:tcPr>
          <w:p w:rsidR="00590337" w:rsidRPr="006314C9" w:rsidRDefault="006233A9" w:rsidP="00750C45">
            <w:pPr>
              <w:spacing w:beforeLines="60" w:afterLines="60"/>
              <w:contextualSpacing/>
              <w:jc w:val="left"/>
              <w:rPr>
                <w:rFonts w:cs="Times New Roman"/>
                <w:sz w:val="20"/>
                <w:szCs w:val="20"/>
                <w:lang w:val="en-GB"/>
              </w:rPr>
            </w:pPr>
            <w:r w:rsidRPr="006314C9">
              <w:rPr>
                <w:rFonts w:cs="Times New Roman"/>
                <w:sz w:val="20"/>
                <w:szCs w:val="20"/>
                <w:lang w:val="en-GB"/>
              </w:rPr>
              <w:t>NAPA</w:t>
            </w:r>
          </w:p>
        </w:tc>
        <w:tc>
          <w:tcPr>
            <w:tcW w:w="2337" w:type="dxa"/>
          </w:tcPr>
          <w:p w:rsidR="00590337" w:rsidRPr="006314C9" w:rsidRDefault="002F0A16" w:rsidP="00750C45">
            <w:pPr>
              <w:spacing w:beforeLines="60" w:afterLines="60"/>
              <w:contextualSpacing/>
              <w:jc w:val="left"/>
              <w:rPr>
                <w:rFonts w:cs="Times New Roman"/>
                <w:sz w:val="20"/>
                <w:szCs w:val="20"/>
                <w:lang w:val="en-GB"/>
              </w:rPr>
            </w:pPr>
            <w:r w:rsidRPr="006314C9">
              <w:rPr>
                <w:rFonts w:cs="Times New Roman"/>
                <w:sz w:val="20"/>
                <w:szCs w:val="20"/>
                <w:lang w:val="en-GB"/>
              </w:rPr>
              <w:t>Not transposed</w:t>
            </w:r>
          </w:p>
        </w:tc>
        <w:tc>
          <w:tcPr>
            <w:tcW w:w="2338" w:type="dxa"/>
          </w:tcPr>
          <w:p w:rsidR="00590337" w:rsidRPr="006314C9" w:rsidRDefault="006233A9" w:rsidP="00750C45">
            <w:pPr>
              <w:spacing w:beforeLines="60" w:afterLines="60"/>
              <w:contextualSpacing/>
              <w:jc w:val="left"/>
              <w:rPr>
                <w:rFonts w:cs="Times New Roman"/>
                <w:sz w:val="20"/>
                <w:szCs w:val="20"/>
                <w:lang w:val="en-GB"/>
              </w:rPr>
            </w:pPr>
            <w:r w:rsidRPr="006314C9">
              <w:rPr>
                <w:rFonts w:eastAsia="Times New Roman" w:cs="Times New Roman"/>
                <w:color w:val="000000"/>
                <w:sz w:val="20"/>
                <w:szCs w:val="20"/>
                <w:lang w:val="en-GB"/>
              </w:rPr>
              <w:t>Not implemented</w:t>
            </w:r>
          </w:p>
        </w:tc>
      </w:tr>
    </w:tbl>
    <w:p w:rsidR="00481801" w:rsidRPr="006314C9" w:rsidRDefault="00481801" w:rsidP="00B27FEA">
      <w:pPr>
        <w:rPr>
          <w:rFonts w:cs="Times New Roman"/>
          <w:lang w:val="en-GB"/>
        </w:rPr>
      </w:pPr>
    </w:p>
    <w:p w:rsidR="00815D28" w:rsidRPr="006314C9" w:rsidRDefault="00422F98" w:rsidP="007B0BC7">
      <w:pPr>
        <w:pStyle w:val="Heading1"/>
        <w:numPr>
          <w:ilvl w:val="0"/>
          <w:numId w:val="0"/>
        </w:numPr>
        <w:ind w:left="720" w:hanging="360"/>
        <w:jc w:val="center"/>
        <w:rPr>
          <w:rFonts w:cs="Times New Roman"/>
          <w:szCs w:val="22"/>
          <w:lang w:val="en-GB"/>
        </w:rPr>
      </w:pPr>
      <w:bookmarkStart w:id="19" w:name="_Toc24031513"/>
      <w:r w:rsidRPr="006314C9">
        <w:rPr>
          <w:rFonts w:cs="Times New Roman"/>
          <w:szCs w:val="22"/>
          <w:lang w:val="en-GB"/>
        </w:rPr>
        <w:t xml:space="preserve">Sub Chapter: </w:t>
      </w:r>
      <w:r w:rsidR="00815D28" w:rsidRPr="006314C9">
        <w:rPr>
          <w:rFonts w:cs="Times New Roman"/>
          <w:szCs w:val="22"/>
          <w:lang w:val="en-GB"/>
        </w:rPr>
        <w:t>Industrial pollution control</w:t>
      </w:r>
      <w:bookmarkEnd w:id="19"/>
    </w:p>
    <w:p w:rsidR="00815D28" w:rsidRPr="006314C9" w:rsidRDefault="00815D28" w:rsidP="00152F5E">
      <w:pPr>
        <w:rPr>
          <w:rFonts w:cs="Times New Roman"/>
          <w:lang w:val="en-GB"/>
        </w:rPr>
      </w:pPr>
      <w:r w:rsidRPr="006314C9">
        <w:rPr>
          <w:rFonts w:cs="Times New Roman"/>
          <w:b/>
          <w:lang w:val="en-GB"/>
        </w:rPr>
        <w:t>Background information</w:t>
      </w:r>
    </w:p>
    <w:p w:rsidR="00815D28" w:rsidRPr="006314C9" w:rsidRDefault="00815D28" w:rsidP="00583E49">
      <w:pPr>
        <w:rPr>
          <w:rFonts w:eastAsia="Times New Roman"/>
          <w:lang w:val="en-GB"/>
        </w:rPr>
      </w:pPr>
      <w:r w:rsidRPr="006314C9">
        <w:rPr>
          <w:lang w:val="en-GB"/>
        </w:rPr>
        <w:t xml:space="preserve">The directives included in this chapter are related to the limitation of emissions of volatile organic compounds due to the use of </w:t>
      </w:r>
      <w:r w:rsidR="002F0A16" w:rsidRPr="006314C9">
        <w:rPr>
          <w:lang w:val="en-GB"/>
        </w:rPr>
        <w:t>organic solvents</w:t>
      </w:r>
      <w:r w:rsidRPr="006314C9">
        <w:rPr>
          <w:lang w:val="en-GB"/>
        </w:rPr>
        <w:t xml:space="preserve"> in certain paints and varnishes and vehicle refinishing products (Directive 2004/42/EC), on the voluntary participation by organisations in a Community </w:t>
      </w:r>
      <w:r w:rsidR="002F0A16" w:rsidRPr="006314C9">
        <w:rPr>
          <w:lang w:val="en-GB"/>
        </w:rPr>
        <w:t>eco-management and audit scheme</w:t>
      </w:r>
      <w:r w:rsidRPr="006314C9">
        <w:rPr>
          <w:lang w:val="en-GB"/>
        </w:rPr>
        <w:t xml:space="preserve"> (EMAS) (Regulation (EC) 1221/2009), </w:t>
      </w:r>
      <w:r w:rsidR="002F0A16" w:rsidRPr="006314C9">
        <w:rPr>
          <w:lang w:val="en-GB"/>
        </w:rPr>
        <w:t>on industrial emissions</w:t>
      </w:r>
      <w:r w:rsidRPr="006314C9">
        <w:rPr>
          <w:lang w:val="en-GB"/>
        </w:rPr>
        <w:t xml:space="preserve"> (Directive 2010/75/EU), on the control of </w:t>
      </w:r>
      <w:r w:rsidR="002F0A16" w:rsidRPr="006314C9">
        <w:rPr>
          <w:lang w:val="en-GB"/>
        </w:rPr>
        <w:t xml:space="preserve">major-accident </w:t>
      </w:r>
      <w:r w:rsidRPr="006314C9">
        <w:rPr>
          <w:lang w:val="en-GB"/>
        </w:rPr>
        <w:t xml:space="preserve">hazards involving dangerous substances (Directive 2012/18/EU), </w:t>
      </w:r>
      <w:r w:rsidRPr="006314C9">
        <w:rPr>
          <w:rFonts w:eastAsia="Times New Roman"/>
          <w:lang w:val="en-GB"/>
        </w:rPr>
        <w:t>on the limitation of emissions of certain pollutants into the air from medium combustion plants (Directive</w:t>
      </w:r>
      <w:r w:rsidRPr="006314C9">
        <w:rPr>
          <w:rFonts w:eastAsiaTheme="minorHAnsi"/>
          <w:lang w:val="en-GB"/>
        </w:rPr>
        <w:t xml:space="preserve"> (</w:t>
      </w:r>
      <w:r w:rsidRPr="006314C9">
        <w:rPr>
          <w:rFonts w:eastAsia="Times New Roman"/>
          <w:lang w:val="en-GB"/>
        </w:rPr>
        <w:t>EU) 2015/2193).</w:t>
      </w:r>
    </w:p>
    <w:p w:rsidR="00590337" w:rsidRPr="006314C9" w:rsidRDefault="00097DB8">
      <w:pPr>
        <w:rPr>
          <w:lang w:val="en-GB"/>
        </w:rPr>
      </w:pPr>
      <w:r w:rsidRPr="006314C9">
        <w:rPr>
          <w:lang w:val="en-GB"/>
        </w:rPr>
        <w:t xml:space="preserve">Directive 2004/42/EC </w:t>
      </w:r>
      <w:r w:rsidR="002F0A16" w:rsidRPr="006314C9">
        <w:rPr>
          <w:i/>
          <w:lang w:val="en-GB"/>
        </w:rPr>
        <w:t>on the limitation of emissions of volatile organic compounds due to the use of organic solvents in certain paints and varnishes and vehicle refinishing products</w:t>
      </w:r>
      <w:r w:rsidRPr="006314C9">
        <w:rPr>
          <w:lang w:val="en-GB"/>
        </w:rPr>
        <w:t xml:space="preserve"> has as the main objective to limit the total content of VOCs in certain paints and varnishes and vehicle refinishing products in order to prevent or reduce air pollution resulting from the contribution of VOCs to the formation of </w:t>
      </w:r>
      <w:proofErr w:type="spellStart"/>
      <w:r w:rsidRPr="006314C9">
        <w:rPr>
          <w:lang w:val="en-GB"/>
        </w:rPr>
        <w:t>tropospheric</w:t>
      </w:r>
      <w:proofErr w:type="spellEnd"/>
      <w:r w:rsidRPr="006314C9">
        <w:rPr>
          <w:lang w:val="en-GB"/>
        </w:rPr>
        <w:t xml:space="preserve"> ozone. </w:t>
      </w:r>
      <w:r w:rsidR="007D1E99" w:rsidRPr="006314C9">
        <w:rPr>
          <w:lang w:val="en-GB"/>
        </w:rPr>
        <w:t>The</w:t>
      </w:r>
      <w:r w:rsidRPr="006314C9">
        <w:rPr>
          <w:lang w:val="en-GB"/>
        </w:rPr>
        <w:t xml:space="preserve"> Directive </w:t>
      </w:r>
      <w:r w:rsidR="00DE6217" w:rsidRPr="006314C9">
        <w:rPr>
          <w:lang w:val="en-GB"/>
        </w:rPr>
        <w:t>regulates</w:t>
      </w:r>
      <w:r w:rsidRPr="006314C9">
        <w:rPr>
          <w:lang w:val="en-GB"/>
        </w:rPr>
        <w:t xml:space="preserve"> the technical specifications for certain paints and varnishes and vehicle refinishing products. </w:t>
      </w:r>
    </w:p>
    <w:p w:rsidR="00590337" w:rsidRPr="006314C9" w:rsidRDefault="00097DB8">
      <w:pPr>
        <w:rPr>
          <w:rFonts w:eastAsiaTheme="minorHAnsi"/>
          <w:b/>
          <w:lang w:val="en-GB"/>
        </w:rPr>
      </w:pPr>
      <w:r w:rsidRPr="006314C9">
        <w:rPr>
          <w:lang w:val="en-GB"/>
        </w:rPr>
        <w:t xml:space="preserve">Regulation (EC) 1221/2009 </w:t>
      </w:r>
      <w:r w:rsidR="002F0A16" w:rsidRPr="006314C9">
        <w:rPr>
          <w:i/>
          <w:lang w:val="en-GB"/>
        </w:rPr>
        <w:t>on the voluntary participation by organisations in a Community eco-management and audit scheme (EMAS),</w:t>
      </w:r>
      <w:r w:rsidR="002F0A16" w:rsidRPr="006314C9">
        <w:rPr>
          <w:lang w:val="en-GB"/>
        </w:rPr>
        <w:t xml:space="preserve"> repealing Regulation (EC) No 761/2001 and Commission Decisions 2001/681/EC and 2006/193/EC</w:t>
      </w:r>
      <w:r w:rsidR="00815D28" w:rsidRPr="006314C9">
        <w:rPr>
          <w:rFonts w:eastAsiaTheme="minorHAnsi"/>
          <w:b/>
          <w:lang w:val="en-GB"/>
        </w:rPr>
        <w:t xml:space="preserve">. </w:t>
      </w:r>
      <w:proofErr w:type="spellStart"/>
      <w:r w:rsidRPr="006314C9">
        <w:rPr>
          <w:lang w:val="en-GB"/>
        </w:rPr>
        <w:t>EMASaims</w:t>
      </w:r>
      <w:proofErr w:type="spellEnd"/>
      <w:r w:rsidRPr="006314C9">
        <w:rPr>
          <w:lang w:val="en-GB"/>
        </w:rPr>
        <w:t xml:space="preserve"> to create a Community eco-management and audit scheme</w:t>
      </w:r>
      <w:r w:rsidR="00815D28" w:rsidRPr="006314C9">
        <w:rPr>
          <w:lang w:val="en-GB"/>
        </w:rPr>
        <w:t xml:space="preserve"> which allows</w:t>
      </w:r>
      <w:r w:rsidRPr="006314C9">
        <w:rPr>
          <w:lang w:val="en-GB"/>
        </w:rPr>
        <w:t xml:space="preserve"> voluntary participation by organisations located inside or outside the Community. </w:t>
      </w:r>
      <w:r w:rsidR="00815D28" w:rsidRPr="006314C9">
        <w:rPr>
          <w:lang w:val="en-GB"/>
        </w:rPr>
        <w:t xml:space="preserve">EMAS </w:t>
      </w:r>
      <w:r w:rsidRPr="006314C9">
        <w:rPr>
          <w:lang w:val="en-GB"/>
        </w:rPr>
        <w:t>promote</w:t>
      </w:r>
      <w:r w:rsidR="00070625" w:rsidRPr="006314C9">
        <w:rPr>
          <w:lang w:val="en-GB"/>
        </w:rPr>
        <w:t>s</w:t>
      </w:r>
      <w:r w:rsidRPr="006314C9">
        <w:rPr>
          <w:lang w:val="en-GB"/>
        </w:rPr>
        <w:t xml:space="preserve"> continuous improvements in the environmental performance of </w:t>
      </w:r>
      <w:r w:rsidR="00815D28" w:rsidRPr="006314C9">
        <w:rPr>
          <w:lang w:val="en-GB"/>
        </w:rPr>
        <w:t>organisations by establish</w:t>
      </w:r>
      <w:r w:rsidRPr="006314C9">
        <w:rPr>
          <w:lang w:val="en-GB"/>
        </w:rPr>
        <w:t>ment and implementation o</w:t>
      </w:r>
      <w:r w:rsidR="00815D28" w:rsidRPr="006314C9">
        <w:rPr>
          <w:lang w:val="en-GB"/>
        </w:rPr>
        <w:t>f environmental management sys</w:t>
      </w:r>
      <w:r w:rsidRPr="006314C9">
        <w:rPr>
          <w:lang w:val="en-GB"/>
        </w:rPr>
        <w:t>tems</w:t>
      </w:r>
      <w:r w:rsidR="00815D28" w:rsidRPr="006314C9">
        <w:rPr>
          <w:lang w:val="en-GB"/>
        </w:rPr>
        <w:t xml:space="preserve">. </w:t>
      </w:r>
    </w:p>
    <w:p w:rsidR="00590337" w:rsidRPr="006314C9" w:rsidRDefault="00815D28">
      <w:pPr>
        <w:rPr>
          <w:lang w:val="en-GB"/>
        </w:rPr>
      </w:pPr>
      <w:r w:rsidRPr="006314C9">
        <w:rPr>
          <w:lang w:val="en-GB"/>
        </w:rPr>
        <w:t xml:space="preserve">Directive 2010/75/EU </w:t>
      </w:r>
      <w:r w:rsidR="002F0A16" w:rsidRPr="006314C9">
        <w:rPr>
          <w:i/>
          <w:lang w:val="en-GB"/>
        </w:rPr>
        <w:t xml:space="preserve">on industrial </w:t>
      </w:r>
      <w:proofErr w:type="spellStart"/>
      <w:r w:rsidR="002F0A16" w:rsidRPr="006314C9">
        <w:rPr>
          <w:i/>
          <w:lang w:val="en-GB"/>
        </w:rPr>
        <w:t>emissions</w:t>
      </w:r>
      <w:r w:rsidR="00DE6217" w:rsidRPr="006314C9">
        <w:rPr>
          <w:lang w:val="en-GB"/>
        </w:rPr>
        <w:t>applies</w:t>
      </w:r>
      <w:proofErr w:type="spellEnd"/>
      <w:r w:rsidR="00097DB8" w:rsidRPr="006314C9">
        <w:rPr>
          <w:lang w:val="en-GB"/>
        </w:rPr>
        <w:t xml:space="preserve"> to the </w:t>
      </w:r>
      <w:r w:rsidR="00DE6217" w:rsidRPr="006314C9">
        <w:rPr>
          <w:lang w:val="en-GB"/>
        </w:rPr>
        <w:t xml:space="preserve">operations-installations from different industrial sectors and introduces set of rules </w:t>
      </w:r>
      <w:r w:rsidRPr="006314C9">
        <w:rPr>
          <w:lang w:val="en-GB"/>
        </w:rPr>
        <w:t>i</w:t>
      </w:r>
      <w:r w:rsidR="00097DB8" w:rsidRPr="006314C9">
        <w:rPr>
          <w:lang w:val="en-GB"/>
        </w:rPr>
        <w:t>n order to prevent, reduce and as far as possible eliminate pollution arising from industrial activities in compliance with the ‘polluter pays’ prin</w:t>
      </w:r>
      <w:r w:rsidRPr="006314C9">
        <w:rPr>
          <w:lang w:val="en-GB"/>
        </w:rPr>
        <w:t>ciple and the principle of pol</w:t>
      </w:r>
      <w:r w:rsidR="00097DB8" w:rsidRPr="006314C9">
        <w:rPr>
          <w:lang w:val="en-GB"/>
        </w:rPr>
        <w:t>lution prevention</w:t>
      </w:r>
      <w:r w:rsidRPr="006314C9">
        <w:rPr>
          <w:lang w:val="en-GB"/>
        </w:rPr>
        <w:t>.</w:t>
      </w:r>
      <w:r w:rsidR="00DE6217" w:rsidRPr="006314C9">
        <w:rPr>
          <w:lang w:val="en-GB"/>
        </w:rPr>
        <w:t xml:space="preserve"> Operations of the </w:t>
      </w:r>
      <w:r w:rsidR="00425740" w:rsidRPr="006314C9">
        <w:rPr>
          <w:lang w:val="en-GB"/>
        </w:rPr>
        <w:t>installations</w:t>
      </w:r>
      <w:r w:rsidR="00DE6217" w:rsidRPr="006314C9">
        <w:rPr>
          <w:lang w:val="en-GB"/>
        </w:rPr>
        <w:t xml:space="preserve"> shall be based on the best available technology </w:t>
      </w:r>
      <w:r w:rsidR="003D2E5F" w:rsidRPr="006314C9">
        <w:rPr>
          <w:lang w:val="en-GB"/>
        </w:rPr>
        <w:t xml:space="preserve">(BAT) </w:t>
      </w:r>
      <w:r w:rsidR="00DE6217" w:rsidRPr="006314C9">
        <w:rPr>
          <w:lang w:val="en-GB"/>
        </w:rPr>
        <w:t xml:space="preserve">which is developed for specific industrial sectors. </w:t>
      </w:r>
    </w:p>
    <w:p w:rsidR="00590337" w:rsidRPr="006314C9" w:rsidRDefault="00815D28">
      <w:pPr>
        <w:rPr>
          <w:rFonts w:eastAsiaTheme="minorHAnsi"/>
          <w:lang w:val="en-GB"/>
        </w:rPr>
      </w:pPr>
      <w:r w:rsidRPr="006314C9">
        <w:rPr>
          <w:lang w:val="en-GB"/>
        </w:rPr>
        <w:t xml:space="preserve">Directive 2012/18/EU </w:t>
      </w:r>
      <w:r w:rsidR="002F0A16" w:rsidRPr="006314C9">
        <w:rPr>
          <w:i/>
          <w:lang w:val="en-GB"/>
        </w:rPr>
        <w:t xml:space="preserve">on the control of major-accident hazards involving dangerous </w:t>
      </w:r>
      <w:proofErr w:type="spellStart"/>
      <w:r w:rsidR="002F0A16" w:rsidRPr="006314C9">
        <w:rPr>
          <w:i/>
          <w:lang w:val="en-GB"/>
        </w:rPr>
        <w:t>substances</w:t>
      </w:r>
      <w:r w:rsidR="00097DB8" w:rsidRPr="006314C9">
        <w:rPr>
          <w:lang w:val="en-GB"/>
        </w:rPr>
        <w:t>lays</w:t>
      </w:r>
      <w:proofErr w:type="spellEnd"/>
      <w:r w:rsidR="00097DB8" w:rsidRPr="006314C9">
        <w:rPr>
          <w:lang w:val="en-GB"/>
        </w:rPr>
        <w:t xml:space="preserve"> down rules for the prevention of major accidents, which involve dangerous substances, and the limitation </w:t>
      </w:r>
      <w:r w:rsidR="00097DB8" w:rsidRPr="006314C9">
        <w:rPr>
          <w:lang w:val="en-GB"/>
        </w:rPr>
        <w:lastRenderedPageBreak/>
        <w:t>of their consequences for human health and the environment, with a view to ensuring a high level of protection throughout the Union in a consistent and effective manner</w:t>
      </w:r>
      <w:r w:rsidR="003D2E5F" w:rsidRPr="006314C9">
        <w:rPr>
          <w:lang w:val="en-GB"/>
        </w:rPr>
        <w:t>.</w:t>
      </w:r>
    </w:p>
    <w:p w:rsidR="00590337" w:rsidRPr="006314C9" w:rsidRDefault="00097DB8">
      <w:pPr>
        <w:rPr>
          <w:lang w:val="en-GB"/>
        </w:rPr>
      </w:pPr>
      <w:r w:rsidRPr="006314C9">
        <w:rPr>
          <w:lang w:val="en-GB"/>
        </w:rPr>
        <w:t>Directive</w:t>
      </w:r>
      <w:r w:rsidRPr="006314C9">
        <w:rPr>
          <w:rFonts w:eastAsiaTheme="minorHAnsi"/>
          <w:lang w:val="en-GB"/>
        </w:rPr>
        <w:t xml:space="preserve"> (</w:t>
      </w:r>
      <w:r w:rsidRPr="006314C9">
        <w:rPr>
          <w:lang w:val="en-GB"/>
        </w:rPr>
        <w:t xml:space="preserve">EU) 2015/2193 </w:t>
      </w:r>
      <w:r w:rsidR="002F0A16" w:rsidRPr="006314C9">
        <w:rPr>
          <w:i/>
          <w:lang w:val="en-GB"/>
        </w:rPr>
        <w:t xml:space="preserve">on the limitation of emissions of certain pollutants into the air from medium combustion </w:t>
      </w:r>
      <w:proofErr w:type="spellStart"/>
      <w:r w:rsidR="002F0A16" w:rsidRPr="006314C9">
        <w:rPr>
          <w:i/>
          <w:lang w:val="en-GB"/>
        </w:rPr>
        <w:t>plants</w:t>
      </w:r>
      <w:r w:rsidRPr="006314C9">
        <w:rPr>
          <w:lang w:val="en-GB"/>
        </w:rPr>
        <w:t>aims</w:t>
      </w:r>
      <w:proofErr w:type="spellEnd"/>
      <w:r w:rsidRPr="006314C9">
        <w:rPr>
          <w:lang w:val="en-GB"/>
        </w:rPr>
        <w:t xml:space="preserve"> to reduce and regulate the emissions on combustion plants with a rated thermal input equal to or greater than 1 MW and less than 50 MW (‘medium combustion plants’), irrespective of the type of </w:t>
      </w:r>
      <w:r w:rsidR="003D2E5F" w:rsidRPr="006314C9">
        <w:rPr>
          <w:lang w:val="en-GB"/>
        </w:rPr>
        <w:t xml:space="preserve">the </w:t>
      </w:r>
      <w:r w:rsidRPr="006314C9">
        <w:rPr>
          <w:lang w:val="en-GB"/>
        </w:rPr>
        <w:t>fuel they use. This Directive shall also apply to a combination formed by new medium combustion plants</w:t>
      </w:r>
      <w:r w:rsidR="00815D28" w:rsidRPr="006314C9">
        <w:rPr>
          <w:lang w:val="en-GB"/>
        </w:rPr>
        <w:t xml:space="preserve"> of two or more combustion plants</w:t>
      </w:r>
      <w:r w:rsidRPr="006314C9">
        <w:rPr>
          <w:lang w:val="en-GB"/>
        </w:rPr>
        <w:t>, including a combination where the total rated thermal input is equal to or greater than 50 MW</w:t>
      </w:r>
      <w:r w:rsidR="00815D28" w:rsidRPr="006314C9">
        <w:rPr>
          <w:lang w:val="en-GB"/>
        </w:rPr>
        <w:t>.</w:t>
      </w:r>
    </w:p>
    <w:p w:rsidR="00815D28" w:rsidRPr="006314C9" w:rsidRDefault="00815D28" w:rsidP="00152F5E">
      <w:pPr>
        <w:rPr>
          <w:rFonts w:cs="Times New Roman"/>
          <w:lang w:val="en-GB"/>
        </w:rPr>
      </w:pPr>
      <w:r w:rsidRPr="006314C9">
        <w:rPr>
          <w:rFonts w:cs="Times New Roman"/>
          <w:b/>
          <w:lang w:val="en-GB"/>
        </w:rPr>
        <w:t>Transposition</w:t>
      </w:r>
    </w:p>
    <w:p w:rsidR="00815D28" w:rsidRPr="006314C9" w:rsidRDefault="00815D28" w:rsidP="00070625">
      <w:pPr>
        <w:rPr>
          <w:lang w:val="en-GB"/>
        </w:rPr>
      </w:pPr>
      <w:r w:rsidRPr="006314C9">
        <w:rPr>
          <w:lang w:val="en-GB"/>
        </w:rPr>
        <w:t xml:space="preserve">The directives and regulations part of the IPC sub chapter </w:t>
      </w:r>
      <w:r w:rsidR="00070625" w:rsidRPr="006314C9">
        <w:rPr>
          <w:lang w:val="en-GB"/>
        </w:rPr>
        <w:t xml:space="preserve">are mainly partially transposed </w:t>
      </w:r>
      <w:r w:rsidRPr="006314C9">
        <w:rPr>
          <w:lang w:val="en-GB"/>
        </w:rPr>
        <w:t xml:space="preserve">with the exception of the Directive 2004/42/EC </w:t>
      </w:r>
      <w:r w:rsidR="005E4EE5" w:rsidRPr="006314C9">
        <w:rPr>
          <w:lang w:val="en-GB"/>
        </w:rPr>
        <w:t xml:space="preserve">on </w:t>
      </w:r>
      <w:r w:rsidR="005E4EE5" w:rsidRPr="006314C9">
        <w:rPr>
          <w:i/>
          <w:lang w:val="en-GB"/>
        </w:rPr>
        <w:t xml:space="preserve">VOCs paints </w:t>
      </w:r>
      <w:r w:rsidRPr="006314C9">
        <w:rPr>
          <w:lang w:val="en-GB"/>
        </w:rPr>
        <w:t xml:space="preserve">which is fully transposed </w:t>
      </w:r>
      <w:r w:rsidR="00070625" w:rsidRPr="006314C9">
        <w:rPr>
          <w:lang w:val="en-GB"/>
        </w:rPr>
        <w:t xml:space="preserve">and </w:t>
      </w:r>
      <w:r w:rsidRPr="006314C9">
        <w:rPr>
          <w:lang w:val="en-GB"/>
        </w:rPr>
        <w:t>Directive 2012/18/</w:t>
      </w:r>
      <w:proofErr w:type="spellStart"/>
      <w:r w:rsidRPr="006314C9">
        <w:rPr>
          <w:lang w:val="en-GB"/>
        </w:rPr>
        <w:t>EU</w:t>
      </w:r>
      <w:r w:rsidR="005E4EE5" w:rsidRPr="006314C9">
        <w:rPr>
          <w:i/>
          <w:lang w:val="en-GB"/>
        </w:rPr>
        <w:t>Seveso</w:t>
      </w:r>
      <w:proofErr w:type="spellEnd"/>
      <w:r w:rsidR="005E4EE5" w:rsidRPr="006314C9">
        <w:rPr>
          <w:i/>
          <w:lang w:val="en-GB"/>
        </w:rPr>
        <w:t xml:space="preserve"> III</w:t>
      </w:r>
      <w:r w:rsidR="00070625" w:rsidRPr="006314C9">
        <w:rPr>
          <w:lang w:val="en-GB"/>
        </w:rPr>
        <w:t xml:space="preserve">, which is not transposed. </w:t>
      </w:r>
    </w:p>
    <w:p w:rsidR="00815D28" w:rsidRPr="006314C9" w:rsidRDefault="00815D28" w:rsidP="00070625">
      <w:pPr>
        <w:rPr>
          <w:lang w:val="en-GB"/>
        </w:rPr>
      </w:pPr>
      <w:r w:rsidRPr="006314C9">
        <w:rPr>
          <w:lang w:val="en-GB"/>
        </w:rPr>
        <w:t xml:space="preserve">Directive 2004/42/EC on </w:t>
      </w:r>
      <w:proofErr w:type="spellStart"/>
      <w:r w:rsidR="005E4EE5" w:rsidRPr="006314C9">
        <w:rPr>
          <w:lang w:val="en-GB"/>
        </w:rPr>
        <w:t>on</w:t>
      </w:r>
      <w:r w:rsidR="005E4EE5" w:rsidRPr="006314C9">
        <w:rPr>
          <w:i/>
          <w:lang w:val="en-GB"/>
        </w:rPr>
        <w:t>VOCs</w:t>
      </w:r>
      <w:proofErr w:type="spellEnd"/>
      <w:r w:rsidR="005E4EE5" w:rsidRPr="006314C9">
        <w:rPr>
          <w:i/>
          <w:lang w:val="en-GB"/>
        </w:rPr>
        <w:t xml:space="preserve"> paints </w:t>
      </w:r>
      <w:r w:rsidRPr="006314C9">
        <w:rPr>
          <w:lang w:val="en-GB"/>
        </w:rPr>
        <w:t xml:space="preserve">is fully transposed by the DCM 907 date 21.12.2016 </w:t>
      </w:r>
      <w:r w:rsidRPr="006314C9">
        <w:rPr>
          <w:caps/>
          <w:lang w:val="en-GB"/>
        </w:rPr>
        <w:t>o</w:t>
      </w:r>
      <w:r w:rsidRPr="006314C9">
        <w:rPr>
          <w:lang w:val="en-GB"/>
        </w:rPr>
        <w:t>n the limitation of emissions of VOCs due to the use of organic solvents in certain paints and varnishes and vehicle refinishing products.</w:t>
      </w:r>
      <w:r w:rsidR="003D2E5F" w:rsidRPr="006314C9">
        <w:rPr>
          <w:lang w:val="en-GB"/>
        </w:rPr>
        <w:t xml:space="preserve"> Bans of placing such products included in this directive are in place.</w:t>
      </w:r>
    </w:p>
    <w:p w:rsidR="00815D28" w:rsidRPr="006314C9" w:rsidRDefault="005E4EE5" w:rsidP="00070625">
      <w:pPr>
        <w:rPr>
          <w:lang w:val="en-GB"/>
        </w:rPr>
      </w:pPr>
      <w:r w:rsidRPr="006314C9">
        <w:rPr>
          <w:i/>
          <w:lang w:val="en-GB"/>
        </w:rPr>
        <w:t xml:space="preserve">EMAS </w:t>
      </w:r>
      <w:r w:rsidR="00815D28" w:rsidRPr="006314C9">
        <w:rPr>
          <w:lang w:val="en-GB"/>
        </w:rPr>
        <w:t>Regulation (EC) 1221/2009</w:t>
      </w:r>
      <w:proofErr w:type="gramStart"/>
      <w:r w:rsidR="00815D28" w:rsidRPr="006314C9">
        <w:rPr>
          <w:rFonts w:eastAsia="Times New Roman"/>
          <w:i/>
          <w:lang w:val="en-GB"/>
        </w:rPr>
        <w:t>)</w:t>
      </w:r>
      <w:r w:rsidR="00097DB8" w:rsidRPr="006314C9">
        <w:rPr>
          <w:lang w:val="en-GB"/>
        </w:rPr>
        <w:t>is</w:t>
      </w:r>
      <w:proofErr w:type="gramEnd"/>
      <w:r w:rsidR="00097DB8" w:rsidRPr="006314C9">
        <w:rPr>
          <w:lang w:val="en-GB"/>
        </w:rPr>
        <w:t xml:space="preserve"> transposed </w:t>
      </w:r>
      <w:r w:rsidR="00815D28" w:rsidRPr="006314C9">
        <w:rPr>
          <w:lang w:val="en-GB"/>
        </w:rPr>
        <w:t>only at 26%</w:t>
      </w:r>
      <w:r w:rsidR="00070625" w:rsidRPr="006314C9">
        <w:rPr>
          <w:lang w:val="en-GB"/>
        </w:rPr>
        <w:t xml:space="preserve">. </w:t>
      </w:r>
      <w:r w:rsidR="00815D28" w:rsidRPr="006314C9">
        <w:rPr>
          <w:lang w:val="en-GB"/>
        </w:rPr>
        <w:t xml:space="preserve"> The main legal act transposing the regulation is </w:t>
      </w:r>
      <w:r w:rsidR="00097DB8" w:rsidRPr="006314C9">
        <w:rPr>
          <w:lang w:val="en-GB"/>
        </w:rPr>
        <w:t>DCM No. 633, of 15.7.2015 “On approval of procedures and requests for granting eco-management and audit schemes</w:t>
      </w:r>
      <w:r w:rsidR="00815D28" w:rsidRPr="006314C9">
        <w:rPr>
          <w:lang w:val="en-GB"/>
        </w:rPr>
        <w:t xml:space="preserve"> which transposes the designation of the competent bodies for the EMAS eco-management and audit scheme</w:t>
      </w:r>
      <w:r w:rsidR="003D2E5F" w:rsidRPr="006314C9">
        <w:rPr>
          <w:lang w:val="en-GB"/>
        </w:rPr>
        <w:t>”</w:t>
      </w:r>
      <w:r w:rsidR="00815D28" w:rsidRPr="006314C9">
        <w:rPr>
          <w:lang w:val="en-GB"/>
        </w:rPr>
        <w:t xml:space="preserve">, but articles related to the procedure of registration, enforcement and control of the </w:t>
      </w:r>
      <w:proofErr w:type="spellStart"/>
      <w:r w:rsidR="00815D28" w:rsidRPr="006314C9">
        <w:rPr>
          <w:lang w:val="en-GB"/>
        </w:rPr>
        <w:t>application</w:t>
      </w:r>
      <w:r w:rsidR="00574FF1" w:rsidRPr="006314C9">
        <w:rPr>
          <w:lang w:val="en-GB"/>
        </w:rPr>
        <w:t>s</w:t>
      </w:r>
      <w:r w:rsidR="00070625" w:rsidRPr="006314C9">
        <w:rPr>
          <w:lang w:val="en-GB"/>
        </w:rPr>
        <w:t>are</w:t>
      </w:r>
      <w:proofErr w:type="spellEnd"/>
      <w:r w:rsidR="00070625" w:rsidRPr="006314C9">
        <w:rPr>
          <w:lang w:val="en-GB"/>
        </w:rPr>
        <w:t xml:space="preserve"> not transposed</w:t>
      </w:r>
      <w:r w:rsidR="00815D28" w:rsidRPr="006314C9">
        <w:rPr>
          <w:lang w:val="en-GB"/>
        </w:rPr>
        <w:t xml:space="preserve">. </w:t>
      </w:r>
      <w:r w:rsidR="00070625" w:rsidRPr="006314C9">
        <w:rPr>
          <w:lang w:val="en-GB"/>
        </w:rPr>
        <w:t xml:space="preserve">Currently no </w:t>
      </w:r>
      <w:r w:rsidR="00815D28" w:rsidRPr="006314C9">
        <w:rPr>
          <w:lang w:val="en-GB"/>
        </w:rPr>
        <w:t>new legal act</w:t>
      </w:r>
      <w:r w:rsidR="00574FF1" w:rsidRPr="006314C9">
        <w:rPr>
          <w:lang w:val="en-GB"/>
        </w:rPr>
        <w:t>s</w:t>
      </w:r>
      <w:r w:rsidR="00815D28" w:rsidRPr="006314C9">
        <w:rPr>
          <w:lang w:val="en-GB"/>
        </w:rPr>
        <w:t xml:space="preserve"> are foreseen to be approved to transpose the remaining articles.</w:t>
      </w:r>
    </w:p>
    <w:p w:rsidR="00590337" w:rsidRPr="006314C9" w:rsidRDefault="00815D28">
      <w:pPr>
        <w:rPr>
          <w:rFonts w:eastAsia="Times New Roman"/>
          <w:lang w:val="en-GB"/>
        </w:rPr>
      </w:pPr>
      <w:r w:rsidRPr="006314C9">
        <w:rPr>
          <w:lang w:val="en-GB"/>
        </w:rPr>
        <w:t xml:space="preserve">Directive 2010/75/EU </w:t>
      </w:r>
      <w:r w:rsidR="002F0A16" w:rsidRPr="006314C9">
        <w:rPr>
          <w:rFonts w:eastAsia="Times New Roman"/>
          <w:lang w:val="en-GB"/>
        </w:rPr>
        <w:t xml:space="preserve">on </w:t>
      </w:r>
      <w:r w:rsidR="002F0A16" w:rsidRPr="006314C9">
        <w:rPr>
          <w:rFonts w:eastAsia="Times New Roman"/>
          <w:i/>
          <w:lang w:val="en-GB"/>
        </w:rPr>
        <w:t xml:space="preserve">industrial </w:t>
      </w:r>
      <w:proofErr w:type="gramStart"/>
      <w:r w:rsidR="002F0A16" w:rsidRPr="006314C9">
        <w:rPr>
          <w:rFonts w:eastAsia="Times New Roman"/>
          <w:i/>
          <w:lang w:val="en-GB"/>
        </w:rPr>
        <w:t>emissions</w:t>
      </w:r>
      <w:r w:rsidR="005E4EE5" w:rsidRPr="006314C9">
        <w:rPr>
          <w:rFonts w:eastAsia="Times New Roman"/>
          <w:i/>
          <w:lang w:val="en-GB"/>
        </w:rPr>
        <w:t>(</w:t>
      </w:r>
      <w:proofErr w:type="gramEnd"/>
      <w:r w:rsidR="005E4EE5" w:rsidRPr="006314C9">
        <w:rPr>
          <w:rFonts w:eastAsia="Times New Roman"/>
          <w:i/>
          <w:lang w:val="en-GB"/>
        </w:rPr>
        <w:t xml:space="preserve">IED) </w:t>
      </w:r>
      <w:r w:rsidR="00097DB8" w:rsidRPr="006314C9">
        <w:rPr>
          <w:rFonts w:eastAsia="Times New Roman"/>
          <w:lang w:val="en-GB"/>
        </w:rPr>
        <w:t>is transposed only partially by a large number of legal acts</w:t>
      </w:r>
      <w:r w:rsidRPr="006314C9">
        <w:rPr>
          <w:rFonts w:eastAsia="Times New Roman"/>
          <w:lang w:val="en-GB"/>
        </w:rPr>
        <w:t xml:space="preserve"> which cover different parts of the directive. The </w:t>
      </w:r>
      <w:r w:rsidR="00574FF1" w:rsidRPr="006314C9">
        <w:rPr>
          <w:rFonts w:eastAsia="Times New Roman"/>
          <w:lang w:val="en-GB"/>
        </w:rPr>
        <w:t xml:space="preserve">main </w:t>
      </w:r>
      <w:r w:rsidRPr="006314C9">
        <w:rPr>
          <w:rFonts w:eastAsia="Times New Roman"/>
          <w:lang w:val="en-GB"/>
        </w:rPr>
        <w:t xml:space="preserve">legal acts transposing the directive are </w:t>
      </w:r>
      <w:r w:rsidR="00097DB8" w:rsidRPr="006314C9">
        <w:rPr>
          <w:rFonts w:eastAsia="Times New Roman"/>
          <w:lang w:val="en-GB"/>
        </w:rPr>
        <w:t xml:space="preserve">Law no. 10448 of 14.7.2011 “on Environmental Permits”, Law no. 10431 of 9.6.2011 “on the Protection of Environment”, Law no.10463, of 22.09.2011 “on Integrated Waste Management”, DCM no. 178 of 6.3.2012 “on Waste </w:t>
      </w:r>
      <w:proofErr w:type="spellStart"/>
      <w:r w:rsidR="00097DB8" w:rsidRPr="006314C9">
        <w:rPr>
          <w:rFonts w:eastAsia="Times New Roman"/>
          <w:lang w:val="en-GB"/>
        </w:rPr>
        <w:t>Incineration,”DCM</w:t>
      </w:r>
      <w:proofErr w:type="spellEnd"/>
      <w:r w:rsidR="00097DB8" w:rsidRPr="006314C9">
        <w:rPr>
          <w:rFonts w:eastAsia="Times New Roman"/>
          <w:lang w:val="en-GB"/>
        </w:rPr>
        <w:t xml:space="preserve"> No 419 of 25.06.2014 “On the determination of specific requirements, conditions and rules for the review of environmental permits of type A, B and C, for the transfer of environmental permits, for the conditions of environmental permits and the detailed rules for the review by the competent authorities till to the issuance of the permits from </w:t>
      </w:r>
      <w:proofErr w:type="spellStart"/>
      <w:r w:rsidR="00097DB8" w:rsidRPr="006314C9">
        <w:rPr>
          <w:rFonts w:eastAsia="Times New Roman"/>
          <w:lang w:val="en-GB"/>
        </w:rPr>
        <w:t>NLC”</w:t>
      </w:r>
      <w:r w:rsidR="00574FF1" w:rsidRPr="006314C9">
        <w:rPr>
          <w:rFonts w:eastAsia="Times New Roman"/>
          <w:lang w:val="en-GB"/>
        </w:rPr>
        <w:t>.</w:t>
      </w:r>
      <w:r w:rsidRPr="006314C9">
        <w:rPr>
          <w:rFonts w:eastAsia="Times New Roman"/>
          <w:lang w:val="en-GB"/>
        </w:rPr>
        <w:t>The</w:t>
      </w:r>
      <w:proofErr w:type="spellEnd"/>
      <w:r w:rsidRPr="006314C9">
        <w:rPr>
          <w:rFonts w:eastAsia="Times New Roman"/>
          <w:lang w:val="en-GB"/>
        </w:rPr>
        <w:t xml:space="preserve"> main problems </w:t>
      </w:r>
      <w:r w:rsidR="00070625" w:rsidRPr="006314C9">
        <w:rPr>
          <w:rFonts w:eastAsia="Times New Roman"/>
          <w:lang w:val="en-GB"/>
        </w:rPr>
        <w:t xml:space="preserve">with </w:t>
      </w:r>
      <w:r w:rsidRPr="006314C9">
        <w:rPr>
          <w:rFonts w:eastAsia="Times New Roman"/>
          <w:lang w:val="en-GB"/>
        </w:rPr>
        <w:t>transposition are related to the BAT and the E</w:t>
      </w:r>
      <w:r w:rsidR="00574FF1" w:rsidRPr="006314C9">
        <w:rPr>
          <w:rFonts w:eastAsia="Times New Roman"/>
          <w:lang w:val="en-GB"/>
        </w:rPr>
        <w:t xml:space="preserve">mission </w:t>
      </w:r>
      <w:r w:rsidRPr="006314C9">
        <w:rPr>
          <w:rFonts w:eastAsia="Times New Roman"/>
          <w:lang w:val="en-GB"/>
        </w:rPr>
        <w:t>L</w:t>
      </w:r>
      <w:r w:rsidR="00574FF1" w:rsidRPr="006314C9">
        <w:rPr>
          <w:rFonts w:eastAsia="Times New Roman"/>
          <w:lang w:val="en-GB"/>
        </w:rPr>
        <w:t xml:space="preserve">imit </w:t>
      </w:r>
      <w:r w:rsidRPr="006314C9">
        <w:rPr>
          <w:rFonts w:eastAsia="Times New Roman"/>
          <w:lang w:val="en-GB"/>
        </w:rPr>
        <w:t>V</w:t>
      </w:r>
      <w:r w:rsidR="00574FF1" w:rsidRPr="006314C9">
        <w:rPr>
          <w:rFonts w:eastAsia="Times New Roman"/>
          <w:lang w:val="en-GB"/>
        </w:rPr>
        <w:t>alues</w:t>
      </w:r>
      <w:r w:rsidRPr="006314C9">
        <w:rPr>
          <w:rFonts w:eastAsia="Times New Roman"/>
          <w:lang w:val="en-GB"/>
        </w:rPr>
        <w:t xml:space="preserve">. </w:t>
      </w:r>
      <w:r w:rsidR="003D2E5F" w:rsidRPr="006314C9">
        <w:rPr>
          <w:rFonts w:eastAsia="Times New Roman"/>
          <w:lang w:val="en-GB"/>
        </w:rPr>
        <w:t>However, permitting of the installations which are under the scope of this directive is not integrated and s</w:t>
      </w:r>
      <w:r w:rsidR="00413B09" w:rsidRPr="006314C9">
        <w:rPr>
          <w:rFonts w:eastAsia="Times New Roman"/>
          <w:lang w:val="en-GB"/>
        </w:rPr>
        <w:t>t</w:t>
      </w:r>
      <w:r w:rsidR="003D2E5F" w:rsidRPr="006314C9">
        <w:rPr>
          <w:rFonts w:eastAsia="Times New Roman"/>
          <w:lang w:val="en-GB"/>
        </w:rPr>
        <w:t>ill the same installation should receive several permits in order to be able to operate. MTE is in the process of removing C permits so that they could be set on the municipal level</w:t>
      </w:r>
      <w:r w:rsidR="00574FF1" w:rsidRPr="006314C9">
        <w:rPr>
          <w:rFonts w:eastAsia="Times New Roman"/>
          <w:lang w:val="en-GB"/>
        </w:rPr>
        <w:t xml:space="preserve"> or abolish at all</w:t>
      </w:r>
      <w:r w:rsidR="003D2E5F" w:rsidRPr="006314C9">
        <w:rPr>
          <w:rFonts w:eastAsia="Times New Roman"/>
          <w:lang w:val="en-GB"/>
        </w:rPr>
        <w:t xml:space="preserve">, however, this does not have any impact on the transposition of this directive. </w:t>
      </w:r>
    </w:p>
    <w:p w:rsidR="00590337" w:rsidRPr="006314C9" w:rsidRDefault="00815D28">
      <w:pPr>
        <w:rPr>
          <w:rFonts w:eastAsia="Times New Roman"/>
          <w:lang w:val="en-GB"/>
        </w:rPr>
      </w:pPr>
      <w:proofErr w:type="gramStart"/>
      <w:r w:rsidRPr="006314C9">
        <w:rPr>
          <w:lang w:val="en-GB"/>
        </w:rPr>
        <w:t xml:space="preserve">Regulation EC No. 66/2010 </w:t>
      </w:r>
      <w:r w:rsidR="005E4EE5" w:rsidRPr="006314C9">
        <w:rPr>
          <w:lang w:val="en-GB"/>
        </w:rPr>
        <w:t xml:space="preserve">on </w:t>
      </w:r>
      <w:r w:rsidR="002F0A16" w:rsidRPr="006314C9">
        <w:rPr>
          <w:i/>
          <w:lang w:val="en-GB"/>
        </w:rPr>
        <w:t>Eco</w:t>
      </w:r>
      <w:r w:rsidR="005E4EE5" w:rsidRPr="006314C9">
        <w:rPr>
          <w:i/>
          <w:lang w:val="en-GB"/>
        </w:rPr>
        <w:t>-</w:t>
      </w:r>
      <w:r w:rsidR="002F0A16" w:rsidRPr="006314C9">
        <w:rPr>
          <w:i/>
          <w:lang w:val="en-GB"/>
        </w:rPr>
        <w:t xml:space="preserve">label </w:t>
      </w:r>
      <w:proofErr w:type="spellStart"/>
      <w:r w:rsidR="002F0A16" w:rsidRPr="006314C9">
        <w:rPr>
          <w:lang w:val="en-GB"/>
        </w:rPr>
        <w:t>is</w:t>
      </w:r>
      <w:r w:rsidR="00097DB8" w:rsidRPr="006314C9">
        <w:rPr>
          <w:lang w:val="en-GB"/>
        </w:rPr>
        <w:t>partiallytransposed</w:t>
      </w:r>
      <w:r w:rsidR="00097DB8" w:rsidRPr="006314C9">
        <w:rPr>
          <w:rFonts w:eastAsia="Times New Roman"/>
          <w:lang w:val="en-GB"/>
        </w:rPr>
        <w:t>by</w:t>
      </w:r>
      <w:proofErr w:type="spellEnd"/>
      <w:r w:rsidR="00097DB8" w:rsidRPr="006314C9">
        <w:rPr>
          <w:rFonts w:eastAsia="Times New Roman"/>
          <w:lang w:val="en-GB"/>
        </w:rPr>
        <w:t xml:space="preserve"> the legal act DCM No. 220, of 11.03.2015 “On approval of the procedure and criteria for granting an Eco-label, its use and validity; as well as the composition and functioning of the Commission for the issue of Eco</w:t>
      </w:r>
      <w:r w:rsidR="005E4EE5" w:rsidRPr="006314C9">
        <w:rPr>
          <w:rFonts w:eastAsia="Times New Roman"/>
          <w:lang w:val="en-GB"/>
        </w:rPr>
        <w:t>-</w:t>
      </w:r>
      <w:r w:rsidR="00097DB8" w:rsidRPr="006314C9">
        <w:rPr>
          <w:rFonts w:eastAsia="Times New Roman"/>
          <w:lang w:val="en-GB"/>
        </w:rPr>
        <w:t>label”</w:t>
      </w:r>
      <w:r w:rsidRPr="006314C9">
        <w:rPr>
          <w:rFonts w:eastAsia="Times New Roman"/>
          <w:lang w:val="en-GB"/>
        </w:rPr>
        <w:t>.</w:t>
      </w:r>
      <w:proofErr w:type="gramEnd"/>
      <w:r w:rsidRPr="006314C9">
        <w:rPr>
          <w:rFonts w:eastAsia="Times New Roman"/>
          <w:lang w:val="en-GB"/>
        </w:rPr>
        <w:t xml:space="preserve"> </w:t>
      </w:r>
      <w:r w:rsidR="00413B09" w:rsidRPr="006314C9">
        <w:rPr>
          <w:rFonts w:eastAsia="Times New Roman"/>
          <w:lang w:val="en-GB"/>
        </w:rPr>
        <w:t>A</w:t>
      </w:r>
      <w:r w:rsidRPr="006314C9">
        <w:rPr>
          <w:rFonts w:eastAsia="Times New Roman"/>
          <w:lang w:val="en-GB"/>
        </w:rPr>
        <w:t>rticles related to the development and revision of an Eco</w:t>
      </w:r>
      <w:r w:rsidR="005E4EE5" w:rsidRPr="006314C9">
        <w:rPr>
          <w:rFonts w:eastAsia="Times New Roman"/>
          <w:lang w:val="en-GB"/>
        </w:rPr>
        <w:t>-</w:t>
      </w:r>
      <w:r w:rsidRPr="006314C9">
        <w:rPr>
          <w:rFonts w:eastAsia="Times New Roman"/>
          <w:lang w:val="en-GB"/>
        </w:rPr>
        <w:t>label</w:t>
      </w:r>
      <w:r w:rsidR="00413B09" w:rsidRPr="006314C9">
        <w:rPr>
          <w:rFonts w:eastAsia="Times New Roman"/>
          <w:lang w:val="en-GB"/>
        </w:rPr>
        <w:t xml:space="preserve"> still have to be transposed</w:t>
      </w:r>
      <w:r w:rsidR="000C4702" w:rsidRPr="006314C9">
        <w:rPr>
          <w:rFonts w:eastAsia="Times New Roman"/>
          <w:lang w:val="en-GB"/>
        </w:rPr>
        <w:t xml:space="preserve">. </w:t>
      </w:r>
      <w:r w:rsidR="000C4702" w:rsidRPr="006314C9">
        <w:rPr>
          <w:lang w:val="en-GB"/>
        </w:rPr>
        <w:t>Some efforts have been made in order to transpose some of the eco-label criteria for certain products, but</w:t>
      </w:r>
      <w:r w:rsidR="00574FF1" w:rsidRPr="006314C9">
        <w:rPr>
          <w:lang w:val="en-GB"/>
        </w:rPr>
        <w:t xml:space="preserve">, as </w:t>
      </w:r>
      <w:proofErr w:type="spellStart"/>
      <w:r w:rsidR="00413B09" w:rsidRPr="006314C9">
        <w:rPr>
          <w:lang w:val="en-GB"/>
        </w:rPr>
        <w:t>for</w:t>
      </w:r>
      <w:r w:rsidR="00574FF1" w:rsidRPr="006314C9">
        <w:rPr>
          <w:lang w:val="en-GB"/>
        </w:rPr>
        <w:t>now</w:t>
      </w:r>
      <w:proofErr w:type="spellEnd"/>
      <w:r w:rsidR="00574FF1" w:rsidRPr="006314C9">
        <w:rPr>
          <w:lang w:val="en-GB"/>
        </w:rPr>
        <w:t>,</w:t>
      </w:r>
      <w:r w:rsidR="000C4702" w:rsidRPr="006314C9">
        <w:rPr>
          <w:lang w:val="en-GB"/>
        </w:rPr>
        <w:t xml:space="preserve"> no legislation is adopted for this matter. </w:t>
      </w:r>
    </w:p>
    <w:p w:rsidR="00590337" w:rsidRPr="006314C9" w:rsidRDefault="00815D28">
      <w:pPr>
        <w:rPr>
          <w:rFonts w:eastAsia="Times New Roman"/>
          <w:lang w:val="en-GB"/>
        </w:rPr>
      </w:pPr>
      <w:r w:rsidRPr="006314C9">
        <w:rPr>
          <w:lang w:val="en-GB"/>
        </w:rPr>
        <w:t xml:space="preserve">Directive 2012/18/EU </w:t>
      </w:r>
      <w:r w:rsidR="002F0A16" w:rsidRPr="006314C9">
        <w:rPr>
          <w:rFonts w:eastAsia="Times New Roman"/>
          <w:lang w:val="en-GB"/>
        </w:rPr>
        <w:t xml:space="preserve">on </w:t>
      </w:r>
      <w:proofErr w:type="spellStart"/>
      <w:r w:rsidR="005E4EE5" w:rsidRPr="006314C9">
        <w:rPr>
          <w:rFonts w:eastAsia="Times New Roman"/>
          <w:i/>
          <w:lang w:val="en-GB"/>
        </w:rPr>
        <w:t>Seveso</w:t>
      </w:r>
      <w:proofErr w:type="spellEnd"/>
      <w:r w:rsidR="005E4EE5" w:rsidRPr="006314C9">
        <w:rPr>
          <w:rFonts w:eastAsia="Times New Roman"/>
          <w:i/>
          <w:lang w:val="en-GB"/>
        </w:rPr>
        <w:t xml:space="preserve"> </w:t>
      </w:r>
      <w:proofErr w:type="spellStart"/>
      <w:r w:rsidR="005E4EE5" w:rsidRPr="006314C9">
        <w:rPr>
          <w:rFonts w:eastAsia="Times New Roman"/>
          <w:i/>
          <w:lang w:val="en-GB"/>
        </w:rPr>
        <w:t>III</w:t>
      </w:r>
      <w:r w:rsidR="00097DB8" w:rsidRPr="006314C9">
        <w:rPr>
          <w:rFonts w:eastAsia="Times New Roman"/>
          <w:lang w:val="en-GB"/>
        </w:rPr>
        <w:t>is</w:t>
      </w:r>
      <w:proofErr w:type="spellEnd"/>
      <w:r w:rsidR="00097DB8" w:rsidRPr="006314C9">
        <w:rPr>
          <w:rFonts w:eastAsia="Times New Roman"/>
          <w:lang w:val="en-GB"/>
        </w:rPr>
        <w:t xml:space="preserve"> not transposed</w:t>
      </w:r>
      <w:r w:rsidR="000C4702" w:rsidRPr="006314C9">
        <w:rPr>
          <w:rFonts w:eastAsia="Times New Roman"/>
          <w:lang w:val="en-GB"/>
        </w:rPr>
        <w:t xml:space="preserve"> and, apart </w:t>
      </w:r>
      <w:r w:rsidR="00DF749A" w:rsidRPr="006314C9">
        <w:rPr>
          <w:rFonts w:eastAsia="Times New Roman"/>
          <w:lang w:val="en-GB"/>
        </w:rPr>
        <w:t>from</w:t>
      </w:r>
      <w:r w:rsidR="000C4702" w:rsidRPr="006314C9">
        <w:rPr>
          <w:rFonts w:eastAsia="Times New Roman"/>
          <w:lang w:val="en-GB"/>
        </w:rPr>
        <w:t xml:space="preserve"> general legislation related to prevention and </w:t>
      </w:r>
      <w:r w:rsidR="00DF749A" w:rsidRPr="006314C9">
        <w:rPr>
          <w:rFonts w:eastAsia="Times New Roman"/>
          <w:lang w:val="en-GB"/>
        </w:rPr>
        <w:t>rescue</w:t>
      </w:r>
      <w:r w:rsidR="000C4702" w:rsidRPr="006314C9">
        <w:rPr>
          <w:rFonts w:eastAsia="Times New Roman"/>
          <w:lang w:val="en-GB"/>
        </w:rPr>
        <w:t xml:space="preserve"> there no other </w:t>
      </w:r>
      <w:proofErr w:type="gramStart"/>
      <w:r w:rsidR="000C4702" w:rsidRPr="006314C9">
        <w:rPr>
          <w:rFonts w:eastAsia="Times New Roman"/>
          <w:lang w:val="en-GB"/>
        </w:rPr>
        <w:t>acts that transposes</w:t>
      </w:r>
      <w:proofErr w:type="gramEnd"/>
      <w:r w:rsidRPr="006314C9">
        <w:rPr>
          <w:rFonts w:eastAsia="Times New Roman"/>
          <w:lang w:val="en-GB"/>
        </w:rPr>
        <w:t xml:space="preserve"> this directive. </w:t>
      </w:r>
    </w:p>
    <w:p w:rsidR="00590337" w:rsidRPr="006314C9" w:rsidRDefault="00815D28">
      <w:pPr>
        <w:rPr>
          <w:rFonts w:eastAsia="Times New Roman"/>
          <w:lang w:val="en-GB"/>
        </w:rPr>
      </w:pPr>
      <w:r w:rsidRPr="006314C9">
        <w:rPr>
          <w:rFonts w:eastAsia="Times New Roman"/>
          <w:lang w:val="en-GB"/>
        </w:rPr>
        <w:t>Directive</w:t>
      </w:r>
      <w:r w:rsidRPr="006314C9">
        <w:rPr>
          <w:rFonts w:eastAsiaTheme="minorHAnsi"/>
          <w:lang w:val="en-GB"/>
        </w:rPr>
        <w:t xml:space="preserve"> (</w:t>
      </w:r>
      <w:r w:rsidRPr="006314C9">
        <w:rPr>
          <w:rFonts w:eastAsia="Times New Roman"/>
          <w:lang w:val="en-GB"/>
        </w:rPr>
        <w:t>EU) 2015/2193</w:t>
      </w:r>
      <w:r w:rsidR="002F0A16" w:rsidRPr="006314C9">
        <w:rPr>
          <w:rFonts w:eastAsia="Times New Roman"/>
          <w:lang w:val="en-GB"/>
        </w:rPr>
        <w:t xml:space="preserve">on </w:t>
      </w:r>
      <w:r w:rsidR="005E4EE5" w:rsidRPr="006314C9">
        <w:rPr>
          <w:rFonts w:eastAsia="Times New Roman"/>
          <w:i/>
          <w:lang w:val="en-GB"/>
        </w:rPr>
        <w:t>M</w:t>
      </w:r>
      <w:r w:rsidR="002F0A16" w:rsidRPr="006314C9">
        <w:rPr>
          <w:rFonts w:eastAsia="Times New Roman"/>
          <w:i/>
          <w:lang w:val="en-GB"/>
        </w:rPr>
        <w:t xml:space="preserve">edium combustion </w:t>
      </w:r>
      <w:proofErr w:type="spellStart"/>
      <w:r w:rsidR="002F0A16" w:rsidRPr="006314C9">
        <w:rPr>
          <w:rFonts w:eastAsia="Times New Roman"/>
          <w:i/>
          <w:lang w:val="en-GB"/>
        </w:rPr>
        <w:t>plants</w:t>
      </w:r>
      <w:r w:rsidR="00097DB8" w:rsidRPr="006314C9">
        <w:rPr>
          <w:rFonts w:eastAsia="Times New Roman"/>
          <w:lang w:val="en-GB"/>
        </w:rPr>
        <w:t>is</w:t>
      </w:r>
      <w:proofErr w:type="spellEnd"/>
      <w:r w:rsidR="00097DB8" w:rsidRPr="006314C9">
        <w:rPr>
          <w:rFonts w:eastAsia="Times New Roman"/>
          <w:lang w:val="en-GB"/>
        </w:rPr>
        <w:t xml:space="preserve"> only partially transposed </w:t>
      </w:r>
      <w:r w:rsidRPr="006314C9">
        <w:rPr>
          <w:rFonts w:eastAsia="Times New Roman"/>
          <w:lang w:val="en-GB"/>
        </w:rPr>
        <w:t xml:space="preserve">(21%). The </w:t>
      </w:r>
      <w:r w:rsidR="004F15BF" w:rsidRPr="006314C9">
        <w:rPr>
          <w:rFonts w:eastAsia="Times New Roman"/>
          <w:lang w:val="en-GB"/>
        </w:rPr>
        <w:t xml:space="preserve">main </w:t>
      </w:r>
      <w:r w:rsidRPr="006314C9">
        <w:rPr>
          <w:rFonts w:eastAsia="Times New Roman"/>
          <w:lang w:val="en-GB"/>
        </w:rPr>
        <w:t xml:space="preserve">legal acts transposing the directive is </w:t>
      </w:r>
      <w:r w:rsidR="00097DB8" w:rsidRPr="006314C9">
        <w:rPr>
          <w:rFonts w:eastAsia="Times New Roman"/>
          <w:lang w:val="en-GB"/>
        </w:rPr>
        <w:t xml:space="preserve">Law No. 60/2014 </w:t>
      </w:r>
      <w:r w:rsidR="004F15BF" w:rsidRPr="006314C9">
        <w:rPr>
          <w:rFonts w:eastAsia="Times New Roman"/>
          <w:lang w:val="en-GB"/>
        </w:rPr>
        <w:t>amending</w:t>
      </w:r>
      <w:r w:rsidR="00097DB8" w:rsidRPr="006314C9">
        <w:rPr>
          <w:rFonts w:eastAsia="Times New Roman"/>
          <w:lang w:val="en-GB"/>
        </w:rPr>
        <w:t xml:space="preserve"> the existing Law No.10448 </w:t>
      </w:r>
      <w:r w:rsidRPr="006314C9">
        <w:rPr>
          <w:rFonts w:eastAsia="Times New Roman"/>
          <w:lang w:val="en-GB"/>
        </w:rPr>
        <w:t>of</w:t>
      </w:r>
      <w:r w:rsidR="00097DB8" w:rsidRPr="006314C9">
        <w:rPr>
          <w:rFonts w:eastAsia="Times New Roman"/>
          <w:lang w:val="en-GB"/>
        </w:rPr>
        <w:t xml:space="preserve"> 14.7.2011 on Environmental Permitting</w:t>
      </w:r>
      <w:r w:rsidRPr="006314C9">
        <w:rPr>
          <w:rFonts w:eastAsia="Times New Roman"/>
          <w:lang w:val="en-GB"/>
        </w:rPr>
        <w:t xml:space="preserve">, </w:t>
      </w:r>
      <w:r w:rsidR="00097DB8" w:rsidRPr="006314C9">
        <w:rPr>
          <w:rFonts w:eastAsia="Times New Roman"/>
          <w:lang w:val="en-GB"/>
        </w:rPr>
        <w:t>Council of Ministers Decision N</w:t>
      </w:r>
      <w:r w:rsidRPr="006314C9">
        <w:rPr>
          <w:rFonts w:eastAsia="Times New Roman"/>
          <w:lang w:val="en-GB"/>
        </w:rPr>
        <w:t>o</w:t>
      </w:r>
      <w:r w:rsidR="00097DB8" w:rsidRPr="006314C9">
        <w:rPr>
          <w:rFonts w:eastAsia="Times New Roman"/>
          <w:lang w:val="en-GB"/>
        </w:rPr>
        <w:t xml:space="preserve">.97 </w:t>
      </w:r>
      <w:r w:rsidRPr="006314C9">
        <w:rPr>
          <w:rFonts w:eastAsia="Times New Roman"/>
          <w:lang w:val="en-GB"/>
        </w:rPr>
        <w:t xml:space="preserve">of </w:t>
      </w:r>
      <w:r w:rsidR="00097DB8" w:rsidRPr="006314C9">
        <w:rPr>
          <w:rFonts w:eastAsia="Times New Roman"/>
          <w:lang w:val="en-GB"/>
        </w:rPr>
        <w:t xml:space="preserve">14.2.2018 “On the determination of specific requirements, conditions and rules for the review of environmental permits of </w:t>
      </w:r>
      <w:r w:rsidR="00097DB8" w:rsidRPr="006314C9">
        <w:rPr>
          <w:rFonts w:eastAsia="Times New Roman"/>
          <w:lang w:val="en-GB"/>
        </w:rPr>
        <w:lastRenderedPageBreak/>
        <w:t>type A, B and C, for the transfer of environmental permits, for the conditions of environmental permits and the detailed rules for the review ….”</w:t>
      </w:r>
      <w:r w:rsidRPr="006314C9">
        <w:rPr>
          <w:rFonts w:eastAsia="Times New Roman"/>
          <w:lang w:val="en-GB"/>
        </w:rPr>
        <w:t xml:space="preserve">, </w:t>
      </w:r>
      <w:r w:rsidR="00097DB8" w:rsidRPr="006314C9">
        <w:rPr>
          <w:rFonts w:eastAsia="Times New Roman"/>
          <w:lang w:val="en-GB"/>
        </w:rPr>
        <w:t>Council of Ministers Decision Nr.435/2002 on Emission Norms</w:t>
      </w:r>
      <w:r w:rsidR="004F15BF" w:rsidRPr="006314C9">
        <w:rPr>
          <w:rFonts w:eastAsia="Times New Roman"/>
          <w:lang w:val="en-GB"/>
        </w:rPr>
        <w:t xml:space="preserve">. There is </w:t>
      </w:r>
      <w:proofErr w:type="spellStart"/>
      <w:r w:rsidR="004F15BF" w:rsidRPr="006314C9">
        <w:rPr>
          <w:rFonts w:eastAsia="Times New Roman"/>
          <w:lang w:val="en-GB"/>
        </w:rPr>
        <w:t>ad</w:t>
      </w:r>
      <w:r w:rsidR="00097DB8" w:rsidRPr="006314C9">
        <w:rPr>
          <w:rFonts w:eastAsia="Times New Roman"/>
          <w:lang w:val="en-GB"/>
        </w:rPr>
        <w:t>raft</w:t>
      </w:r>
      <w:proofErr w:type="spellEnd"/>
      <w:r w:rsidR="00097DB8" w:rsidRPr="006314C9">
        <w:rPr>
          <w:rFonts w:eastAsia="Times New Roman"/>
          <w:lang w:val="en-GB"/>
        </w:rPr>
        <w:t xml:space="preserve"> Law on revision of Environmental </w:t>
      </w:r>
      <w:proofErr w:type="spellStart"/>
      <w:r w:rsidR="00097DB8" w:rsidRPr="006314C9">
        <w:rPr>
          <w:rFonts w:eastAsia="Times New Roman"/>
          <w:lang w:val="en-GB"/>
        </w:rPr>
        <w:t>Permits</w:t>
      </w:r>
      <w:r w:rsidR="004F15BF" w:rsidRPr="006314C9">
        <w:rPr>
          <w:rFonts w:eastAsia="Times New Roman"/>
          <w:lang w:val="en-GB"/>
        </w:rPr>
        <w:t>which</w:t>
      </w:r>
      <w:proofErr w:type="spellEnd"/>
      <w:r w:rsidR="004F15BF" w:rsidRPr="006314C9">
        <w:rPr>
          <w:rFonts w:eastAsia="Times New Roman"/>
          <w:lang w:val="en-GB"/>
        </w:rPr>
        <w:t xml:space="preserve"> is not adopted yet. Additional legal act is the</w:t>
      </w:r>
      <w:r w:rsidRPr="006314C9">
        <w:rPr>
          <w:rFonts w:eastAsia="Times New Roman"/>
          <w:lang w:val="en-GB"/>
        </w:rPr>
        <w:t xml:space="preserve"> Decision Nr.633 of </w:t>
      </w:r>
      <w:r w:rsidR="00097DB8" w:rsidRPr="006314C9">
        <w:rPr>
          <w:rFonts w:eastAsia="Times New Roman"/>
          <w:lang w:val="en-GB"/>
        </w:rPr>
        <w:t>26.10.2018 “Measures upon air quality protection from emissions deriving by burning of fossil fuel and gas from vehicles”</w:t>
      </w:r>
      <w:r w:rsidR="004F15BF" w:rsidRPr="006314C9">
        <w:rPr>
          <w:rFonts w:eastAsia="Times New Roman"/>
          <w:lang w:val="en-GB"/>
        </w:rPr>
        <w:t xml:space="preserve">. There </w:t>
      </w:r>
      <w:proofErr w:type="gramStart"/>
      <w:r w:rsidR="004F15BF" w:rsidRPr="006314C9">
        <w:rPr>
          <w:rFonts w:eastAsia="Times New Roman"/>
          <w:lang w:val="en-GB"/>
        </w:rPr>
        <w:t>are</w:t>
      </w:r>
      <w:proofErr w:type="gramEnd"/>
      <w:r w:rsidR="004F15BF" w:rsidRPr="006314C9">
        <w:rPr>
          <w:rFonts w:eastAsia="Times New Roman"/>
          <w:lang w:val="en-GB"/>
        </w:rPr>
        <w:t xml:space="preserve"> some other legislation which are relevant for this directive, however do not transpose directly any article of th</w:t>
      </w:r>
      <w:r w:rsidR="00574FF1" w:rsidRPr="006314C9">
        <w:rPr>
          <w:rFonts w:eastAsia="Times New Roman"/>
          <w:lang w:val="en-GB"/>
        </w:rPr>
        <w:t>is</w:t>
      </w:r>
      <w:r w:rsidR="004F15BF" w:rsidRPr="006314C9">
        <w:rPr>
          <w:rFonts w:eastAsia="Times New Roman"/>
          <w:lang w:val="en-GB"/>
        </w:rPr>
        <w:t xml:space="preserve"> directive. </w:t>
      </w:r>
    </w:p>
    <w:p w:rsidR="00590337" w:rsidRPr="006314C9" w:rsidRDefault="00815D28">
      <w:pPr>
        <w:rPr>
          <w:rFonts w:eastAsia="Times New Roman"/>
          <w:lang w:val="en-GB"/>
        </w:rPr>
      </w:pPr>
      <w:r w:rsidRPr="006314C9">
        <w:rPr>
          <w:lang w:val="en-GB"/>
        </w:rPr>
        <w:t xml:space="preserve">At this stage is more than evident that the work on transposition of this chapter to the Albanian legislation is still important. </w:t>
      </w:r>
      <w:r w:rsidR="004F15BF" w:rsidRPr="006314C9">
        <w:rPr>
          <w:lang w:val="en-GB"/>
        </w:rPr>
        <w:t>In addition, there is a need to revise some of the existing legislation as to provide more practical measures and legal instruments to allow better implementation and enforcement of the legislation. Revision of the permitting system might be needed which will take into consideration the IED, to loosen up the burden of having too many environmental permits and to introduce integrated permits only for the installations covered by the IED. The</w:t>
      </w:r>
      <w:r w:rsidRPr="006314C9">
        <w:rPr>
          <w:lang w:val="en-GB"/>
        </w:rPr>
        <w:t xml:space="preserve"> limited transposition has a direct impact on the implementation of the related directives. </w:t>
      </w:r>
    </w:p>
    <w:p w:rsidR="00815D28" w:rsidRPr="006314C9" w:rsidRDefault="00815D28" w:rsidP="00152F5E">
      <w:pPr>
        <w:rPr>
          <w:rFonts w:cs="Times New Roman"/>
          <w:lang w:val="en-GB"/>
        </w:rPr>
      </w:pPr>
      <w:r w:rsidRPr="006314C9">
        <w:rPr>
          <w:rFonts w:cs="Times New Roman"/>
          <w:b/>
          <w:lang w:val="en-GB"/>
        </w:rPr>
        <w:t>Implementation</w:t>
      </w:r>
    </w:p>
    <w:p w:rsidR="00590337" w:rsidRPr="006314C9" w:rsidRDefault="00815D28">
      <w:pPr>
        <w:rPr>
          <w:lang w:val="en-GB"/>
        </w:rPr>
      </w:pPr>
      <w:r w:rsidRPr="006314C9">
        <w:rPr>
          <w:lang w:val="en-GB"/>
        </w:rPr>
        <w:t>The level of implementation of the directives in this sub</w:t>
      </w:r>
      <w:r w:rsidR="00574FF1" w:rsidRPr="006314C9">
        <w:rPr>
          <w:lang w:val="en-GB"/>
        </w:rPr>
        <w:t>-</w:t>
      </w:r>
      <w:r w:rsidRPr="006314C9">
        <w:rPr>
          <w:lang w:val="en-GB"/>
        </w:rPr>
        <w:t xml:space="preserve">chapter is very uneven </w:t>
      </w:r>
      <w:r w:rsidR="004F15BF" w:rsidRPr="006314C9">
        <w:rPr>
          <w:lang w:val="en-GB"/>
        </w:rPr>
        <w:t xml:space="preserve">and </w:t>
      </w:r>
      <w:r w:rsidRPr="006314C9">
        <w:rPr>
          <w:lang w:val="en-GB"/>
        </w:rPr>
        <w:t xml:space="preserve">it ranges from advanced for the directive </w:t>
      </w:r>
      <w:r w:rsidR="00DE10CB" w:rsidRPr="006314C9">
        <w:rPr>
          <w:i/>
          <w:lang w:val="en-GB"/>
        </w:rPr>
        <w:t xml:space="preserve">IED </w:t>
      </w:r>
      <w:r w:rsidRPr="006314C9">
        <w:rPr>
          <w:lang w:val="en-GB"/>
        </w:rPr>
        <w:t xml:space="preserve">2010/75/EU to not </w:t>
      </w:r>
      <w:proofErr w:type="gramStart"/>
      <w:r w:rsidRPr="006314C9">
        <w:rPr>
          <w:lang w:val="en-GB"/>
        </w:rPr>
        <w:t>implemented</w:t>
      </w:r>
      <w:proofErr w:type="gramEnd"/>
      <w:r w:rsidRPr="006314C9">
        <w:rPr>
          <w:lang w:val="en-GB"/>
        </w:rPr>
        <w:t xml:space="preserve"> for the </w:t>
      </w:r>
      <w:r w:rsidR="00DE10CB" w:rsidRPr="006314C9">
        <w:rPr>
          <w:i/>
          <w:lang w:val="en-GB"/>
        </w:rPr>
        <w:t xml:space="preserve">EMAS </w:t>
      </w:r>
      <w:proofErr w:type="spellStart"/>
      <w:r w:rsidR="00DE10CB" w:rsidRPr="006314C9">
        <w:rPr>
          <w:i/>
          <w:lang w:val="en-GB"/>
        </w:rPr>
        <w:t>Global</w:t>
      </w:r>
      <w:r w:rsidRPr="006314C9">
        <w:rPr>
          <w:lang w:val="en-GB"/>
        </w:rPr>
        <w:t>Regulation</w:t>
      </w:r>
      <w:proofErr w:type="spellEnd"/>
      <w:r w:rsidRPr="006314C9">
        <w:rPr>
          <w:lang w:val="en-GB"/>
        </w:rPr>
        <w:t xml:space="preserve"> (EC) 1221/2009. For the other cases, the level of implementation falls from initial stage to </w:t>
      </w:r>
      <w:r w:rsidR="00574FF1" w:rsidRPr="006314C9">
        <w:rPr>
          <w:lang w:val="en-GB"/>
        </w:rPr>
        <w:t xml:space="preserve">partly </w:t>
      </w:r>
      <w:r w:rsidRPr="006314C9">
        <w:rPr>
          <w:lang w:val="en-GB"/>
        </w:rPr>
        <w:t xml:space="preserve">implemented. </w:t>
      </w:r>
    </w:p>
    <w:p w:rsidR="00590337" w:rsidRPr="006314C9" w:rsidRDefault="00815D28">
      <w:pPr>
        <w:rPr>
          <w:lang w:val="en-GB"/>
        </w:rPr>
      </w:pPr>
      <w:r w:rsidRPr="006314C9">
        <w:rPr>
          <w:lang w:val="en-GB"/>
        </w:rPr>
        <w:t xml:space="preserve">The </w:t>
      </w:r>
      <w:r w:rsidR="00DE10CB" w:rsidRPr="006314C9">
        <w:rPr>
          <w:i/>
          <w:lang w:val="en-GB"/>
        </w:rPr>
        <w:t xml:space="preserve">IED </w:t>
      </w:r>
      <w:r w:rsidRPr="006314C9">
        <w:rPr>
          <w:lang w:val="en-GB"/>
        </w:rPr>
        <w:t xml:space="preserve">directive 2010/75/EU is a very complex </w:t>
      </w:r>
      <w:r w:rsidR="00BF2EAF" w:rsidRPr="006314C9">
        <w:rPr>
          <w:lang w:val="en-GB"/>
        </w:rPr>
        <w:t xml:space="preserve">and </w:t>
      </w:r>
      <w:r w:rsidRPr="006314C9">
        <w:rPr>
          <w:lang w:val="en-GB"/>
        </w:rPr>
        <w:t xml:space="preserve">related to a large range of industrial </w:t>
      </w:r>
      <w:r w:rsidR="00CB7FE2" w:rsidRPr="006314C9">
        <w:rPr>
          <w:lang w:val="en-GB"/>
        </w:rPr>
        <w:t xml:space="preserve">installations and </w:t>
      </w:r>
      <w:r w:rsidRPr="006314C9">
        <w:rPr>
          <w:lang w:val="en-GB"/>
        </w:rPr>
        <w:t xml:space="preserve">emissions. </w:t>
      </w:r>
      <w:r w:rsidR="00097DB8" w:rsidRPr="006314C9">
        <w:rPr>
          <w:lang w:val="en-GB"/>
        </w:rPr>
        <w:t>There is in place a procedure to apply, deliver and control the permitting process fr</w:t>
      </w:r>
      <w:r w:rsidR="00413B09" w:rsidRPr="006314C9">
        <w:rPr>
          <w:lang w:val="en-GB"/>
        </w:rPr>
        <w:t>o</w:t>
      </w:r>
      <w:r w:rsidR="00097DB8" w:rsidRPr="006314C9">
        <w:rPr>
          <w:lang w:val="en-GB"/>
        </w:rPr>
        <w:t xml:space="preserve">m the central level to the local level, by three levels of application </w:t>
      </w:r>
      <w:r w:rsidR="00413B09" w:rsidRPr="006314C9">
        <w:rPr>
          <w:lang w:val="en-GB"/>
        </w:rPr>
        <w:t xml:space="preserve">- </w:t>
      </w:r>
      <w:r w:rsidR="00097DB8" w:rsidRPr="006314C9">
        <w:rPr>
          <w:lang w:val="en-GB"/>
        </w:rPr>
        <w:t>national (MTE and NEA)</w:t>
      </w:r>
      <w:r w:rsidR="00413B09" w:rsidRPr="006314C9">
        <w:rPr>
          <w:lang w:val="en-GB"/>
        </w:rPr>
        <w:t>,</w:t>
      </w:r>
      <w:r w:rsidR="00097DB8" w:rsidRPr="006314C9">
        <w:rPr>
          <w:lang w:val="en-GB"/>
        </w:rPr>
        <w:t xml:space="preserve"> regional branches of NEA and the Inspectorate and </w:t>
      </w:r>
      <w:r w:rsidR="004F15BF" w:rsidRPr="006314C9">
        <w:rPr>
          <w:lang w:val="en-GB"/>
        </w:rPr>
        <w:t xml:space="preserve">requirements of </w:t>
      </w:r>
      <w:r w:rsidR="00413B09" w:rsidRPr="006314C9">
        <w:rPr>
          <w:lang w:val="en-GB"/>
        </w:rPr>
        <w:t>self-monitoring</w:t>
      </w:r>
      <w:r w:rsidR="00097DB8" w:rsidRPr="006314C9">
        <w:rPr>
          <w:lang w:val="en-GB"/>
        </w:rPr>
        <w:t xml:space="preserve"> reports prepared by the operators themselves. </w:t>
      </w:r>
      <w:r w:rsidR="004F15BF" w:rsidRPr="006314C9">
        <w:rPr>
          <w:lang w:val="en-GB"/>
        </w:rPr>
        <w:t>However, implementation of BAT or referring to it is</w:t>
      </w:r>
      <w:r w:rsidR="00097DB8" w:rsidRPr="006314C9">
        <w:rPr>
          <w:lang w:val="en-GB"/>
        </w:rPr>
        <w:t xml:space="preserve"> missing. A new law on Environmental permits is being prepared by the MTE</w:t>
      </w:r>
      <w:r w:rsidR="00CB7FE2" w:rsidRPr="006314C9">
        <w:rPr>
          <w:lang w:val="en-GB"/>
        </w:rPr>
        <w:t xml:space="preserve"> but has not been adopted yet</w:t>
      </w:r>
      <w:r w:rsidR="00097DB8" w:rsidRPr="006314C9">
        <w:rPr>
          <w:lang w:val="en-GB"/>
        </w:rPr>
        <w:t xml:space="preserve">. This new version will fill in the existing gaps on </w:t>
      </w:r>
      <w:r w:rsidR="004F15BF" w:rsidRPr="006314C9">
        <w:rPr>
          <w:lang w:val="en-GB"/>
        </w:rPr>
        <w:t xml:space="preserve">some of the raised </w:t>
      </w:r>
      <w:proofErr w:type="spellStart"/>
      <w:r w:rsidR="00097DB8" w:rsidRPr="006314C9">
        <w:rPr>
          <w:lang w:val="en-GB"/>
        </w:rPr>
        <w:t>issues.</w:t>
      </w:r>
      <w:r w:rsidRPr="006314C9">
        <w:rPr>
          <w:lang w:val="en-GB"/>
        </w:rPr>
        <w:t>The</w:t>
      </w:r>
      <w:proofErr w:type="spellEnd"/>
      <w:r w:rsidRPr="006314C9">
        <w:rPr>
          <w:lang w:val="en-GB"/>
        </w:rPr>
        <w:t xml:space="preserve"> inspectorate is missing main elements </w:t>
      </w:r>
      <w:r w:rsidR="00CB7FE2" w:rsidRPr="006314C9">
        <w:rPr>
          <w:lang w:val="en-GB"/>
        </w:rPr>
        <w:t xml:space="preserve">in implementation of this directive, that </w:t>
      </w:r>
      <w:proofErr w:type="spellStart"/>
      <w:r w:rsidR="00CB7FE2" w:rsidRPr="006314C9">
        <w:rPr>
          <w:lang w:val="en-GB"/>
        </w:rPr>
        <w:t>is</w:t>
      </w:r>
      <w:r w:rsidR="00413B09" w:rsidRPr="006314C9">
        <w:rPr>
          <w:lang w:val="en-GB"/>
        </w:rPr>
        <w:t>k</w:t>
      </w:r>
      <w:r w:rsidRPr="006314C9">
        <w:rPr>
          <w:lang w:val="en-GB"/>
        </w:rPr>
        <w:t>now</w:t>
      </w:r>
      <w:proofErr w:type="spellEnd"/>
      <w:r w:rsidR="00CB7FE2" w:rsidRPr="006314C9">
        <w:rPr>
          <w:lang w:val="en-GB"/>
        </w:rPr>
        <w:t>-</w:t>
      </w:r>
      <w:r w:rsidRPr="006314C9">
        <w:rPr>
          <w:lang w:val="en-GB"/>
        </w:rPr>
        <w:t xml:space="preserve">how and technical </w:t>
      </w:r>
      <w:r w:rsidR="004F15BF" w:rsidRPr="006314C9">
        <w:rPr>
          <w:lang w:val="en-GB"/>
        </w:rPr>
        <w:t>equipment</w:t>
      </w:r>
      <w:r w:rsidR="00413B09" w:rsidRPr="006314C9">
        <w:rPr>
          <w:lang w:val="en-GB"/>
        </w:rPr>
        <w:t>,</w:t>
      </w:r>
      <w:r w:rsidR="00CB7FE2" w:rsidRPr="006314C9">
        <w:rPr>
          <w:lang w:val="en-GB"/>
        </w:rPr>
        <w:t xml:space="preserve"> thus </w:t>
      </w:r>
      <w:r w:rsidRPr="006314C9">
        <w:rPr>
          <w:lang w:val="en-GB"/>
        </w:rPr>
        <w:t>perform</w:t>
      </w:r>
      <w:r w:rsidR="00CB7FE2" w:rsidRPr="006314C9">
        <w:rPr>
          <w:lang w:val="en-GB"/>
        </w:rPr>
        <w:t>ing a</w:t>
      </w:r>
      <w:r w:rsidRPr="006314C9">
        <w:rPr>
          <w:lang w:val="en-GB"/>
        </w:rPr>
        <w:t xml:space="preserve"> complete inspection on the sites</w:t>
      </w:r>
      <w:r w:rsidR="00CB7FE2" w:rsidRPr="006314C9">
        <w:rPr>
          <w:lang w:val="en-GB"/>
        </w:rPr>
        <w:t xml:space="preserve"> is challenging</w:t>
      </w:r>
      <w:r w:rsidRPr="006314C9">
        <w:rPr>
          <w:lang w:val="en-GB"/>
        </w:rPr>
        <w:t>. Gaps exist on specifying the modalities of the random and planned controls on sites</w:t>
      </w:r>
      <w:r w:rsidR="00CB7FE2" w:rsidRPr="006314C9">
        <w:rPr>
          <w:lang w:val="en-GB"/>
        </w:rPr>
        <w:t xml:space="preserve"> as a consequence t</w:t>
      </w:r>
      <w:r w:rsidRPr="006314C9">
        <w:rPr>
          <w:lang w:val="en-GB"/>
        </w:rPr>
        <w:t>he controls are limited to self</w:t>
      </w:r>
      <w:r w:rsidR="00CB7FE2" w:rsidRPr="006314C9">
        <w:rPr>
          <w:lang w:val="en-GB"/>
        </w:rPr>
        <w:t>-</w:t>
      </w:r>
      <w:r w:rsidRPr="006314C9">
        <w:rPr>
          <w:lang w:val="en-GB"/>
        </w:rPr>
        <w:t xml:space="preserve">evaluation of the operators.  </w:t>
      </w:r>
      <w:r w:rsidR="00F727A9" w:rsidRPr="006314C9">
        <w:rPr>
          <w:lang w:val="en-GB"/>
        </w:rPr>
        <w:t>It is estimat</w:t>
      </w:r>
      <w:r w:rsidR="00CB7FE2" w:rsidRPr="006314C9">
        <w:rPr>
          <w:lang w:val="en-GB"/>
        </w:rPr>
        <w:t>ed</w:t>
      </w:r>
      <w:r w:rsidR="00F727A9" w:rsidRPr="006314C9">
        <w:rPr>
          <w:lang w:val="en-GB"/>
        </w:rPr>
        <w:t xml:space="preserve"> that about 20 </w:t>
      </w:r>
      <w:proofErr w:type="spellStart"/>
      <w:r w:rsidR="00F727A9" w:rsidRPr="006314C9">
        <w:rPr>
          <w:lang w:val="en-GB"/>
        </w:rPr>
        <w:t>installationsare</w:t>
      </w:r>
      <w:proofErr w:type="spellEnd"/>
      <w:r w:rsidR="00F727A9" w:rsidRPr="006314C9">
        <w:rPr>
          <w:lang w:val="en-GB"/>
        </w:rPr>
        <w:t xml:space="preserve"> under the scope of the </w:t>
      </w:r>
      <w:r w:rsidR="00F727A9" w:rsidRPr="006314C9">
        <w:rPr>
          <w:i/>
          <w:lang w:val="en-GB"/>
        </w:rPr>
        <w:t>IED</w:t>
      </w:r>
      <w:r w:rsidR="002E6883" w:rsidRPr="006314C9">
        <w:rPr>
          <w:lang w:val="en-GB"/>
        </w:rPr>
        <w:t>,</w:t>
      </w:r>
      <w:r w:rsidR="00F727A9" w:rsidRPr="006314C9">
        <w:rPr>
          <w:lang w:val="en-GB"/>
        </w:rPr>
        <w:t xml:space="preserve"> however there is no register of </w:t>
      </w:r>
      <w:proofErr w:type="spellStart"/>
      <w:r w:rsidR="00F727A9" w:rsidRPr="006314C9">
        <w:rPr>
          <w:lang w:val="en-GB"/>
        </w:rPr>
        <w:t>th</w:t>
      </w:r>
      <w:r w:rsidR="00CB7FE2" w:rsidRPr="006314C9">
        <w:rPr>
          <w:lang w:val="en-GB"/>
        </w:rPr>
        <w:t>eseinstallations</w:t>
      </w:r>
      <w:proofErr w:type="spellEnd"/>
      <w:r w:rsidR="00F727A9" w:rsidRPr="006314C9">
        <w:rPr>
          <w:lang w:val="en-GB"/>
        </w:rPr>
        <w:t>, no</w:t>
      </w:r>
      <w:r w:rsidR="00CB7FE2" w:rsidRPr="006314C9">
        <w:rPr>
          <w:lang w:val="en-GB"/>
        </w:rPr>
        <w:t>r</w:t>
      </w:r>
      <w:r w:rsidR="00F727A9" w:rsidRPr="006314C9">
        <w:rPr>
          <w:lang w:val="en-GB"/>
        </w:rPr>
        <w:t xml:space="preserve"> their level of implementing the directive’s </w:t>
      </w:r>
      <w:r w:rsidR="00CB7FE2" w:rsidRPr="006314C9">
        <w:rPr>
          <w:lang w:val="en-GB"/>
        </w:rPr>
        <w:t>requirements</w:t>
      </w:r>
      <w:r w:rsidR="00F727A9" w:rsidRPr="006314C9">
        <w:rPr>
          <w:lang w:val="en-GB"/>
        </w:rPr>
        <w:t xml:space="preserve"> is assessed. </w:t>
      </w:r>
      <w:proofErr w:type="gramStart"/>
      <w:r w:rsidR="00F727A9" w:rsidRPr="006314C9">
        <w:rPr>
          <w:lang w:val="en-GB"/>
        </w:rPr>
        <w:t xml:space="preserve">This directive </w:t>
      </w:r>
      <w:r w:rsidR="00413B09" w:rsidRPr="006314C9">
        <w:rPr>
          <w:lang w:val="en-GB"/>
        </w:rPr>
        <w:t>will</w:t>
      </w:r>
      <w:proofErr w:type="gramEnd"/>
      <w:r w:rsidR="00F727A9" w:rsidRPr="006314C9">
        <w:rPr>
          <w:lang w:val="en-GB"/>
        </w:rPr>
        <w:t xml:space="preserve"> </w:t>
      </w:r>
      <w:proofErr w:type="spellStart"/>
      <w:r w:rsidR="00F727A9" w:rsidRPr="006314C9">
        <w:rPr>
          <w:lang w:val="en-GB"/>
        </w:rPr>
        <w:t>potenti</w:t>
      </w:r>
      <w:r w:rsidR="00CB7FE2" w:rsidRPr="006314C9">
        <w:rPr>
          <w:lang w:val="en-GB"/>
        </w:rPr>
        <w:t>al</w:t>
      </w:r>
      <w:r w:rsidR="00413B09" w:rsidRPr="006314C9">
        <w:rPr>
          <w:lang w:val="en-GB"/>
        </w:rPr>
        <w:t>ly</w:t>
      </w:r>
      <w:r w:rsidR="00F727A9" w:rsidRPr="006314C9">
        <w:rPr>
          <w:lang w:val="en-GB"/>
        </w:rPr>
        <w:t>need</w:t>
      </w:r>
      <w:proofErr w:type="spellEnd"/>
      <w:r w:rsidR="00F727A9" w:rsidRPr="006314C9">
        <w:rPr>
          <w:lang w:val="en-GB"/>
        </w:rPr>
        <w:t xml:space="preserve"> </w:t>
      </w:r>
      <w:r w:rsidR="00413B09" w:rsidRPr="006314C9">
        <w:rPr>
          <w:lang w:val="en-GB"/>
        </w:rPr>
        <w:t xml:space="preserve">a </w:t>
      </w:r>
      <w:r w:rsidR="00F727A9" w:rsidRPr="006314C9">
        <w:rPr>
          <w:lang w:val="en-GB"/>
        </w:rPr>
        <w:t>transitional periods for full implementation thus actions are needed to identify the installation</w:t>
      </w:r>
      <w:r w:rsidR="00CB7FE2" w:rsidRPr="006314C9">
        <w:rPr>
          <w:lang w:val="en-GB"/>
        </w:rPr>
        <w:t>s</w:t>
      </w:r>
      <w:r w:rsidR="00F727A9" w:rsidRPr="006314C9">
        <w:rPr>
          <w:lang w:val="en-GB"/>
        </w:rPr>
        <w:t xml:space="preserve"> and to start preparing DSIP which will serve to </w:t>
      </w:r>
      <w:r w:rsidR="00CB7FE2" w:rsidRPr="006314C9">
        <w:rPr>
          <w:lang w:val="en-GB"/>
        </w:rPr>
        <w:t xml:space="preserve">substantiate </w:t>
      </w:r>
      <w:r w:rsidR="00F727A9" w:rsidRPr="006314C9">
        <w:rPr>
          <w:lang w:val="en-GB"/>
        </w:rPr>
        <w:t xml:space="preserve">the transitional </w:t>
      </w:r>
      <w:proofErr w:type="spellStart"/>
      <w:r w:rsidR="00F727A9" w:rsidRPr="006314C9">
        <w:rPr>
          <w:lang w:val="en-GB"/>
        </w:rPr>
        <w:t>period</w:t>
      </w:r>
      <w:r w:rsidR="00CB7FE2" w:rsidRPr="006314C9">
        <w:rPr>
          <w:lang w:val="en-GB"/>
        </w:rPr>
        <w:t>s</w:t>
      </w:r>
      <w:r w:rsidR="00413B09" w:rsidRPr="006314C9">
        <w:rPr>
          <w:lang w:val="en-GB"/>
        </w:rPr>
        <w:t>on</w:t>
      </w:r>
      <w:proofErr w:type="spellEnd"/>
      <w:r w:rsidR="00413B09" w:rsidRPr="006314C9">
        <w:rPr>
          <w:lang w:val="en-GB"/>
        </w:rPr>
        <w:t xml:space="preserve"> </w:t>
      </w:r>
      <w:r w:rsidR="00CB7FE2" w:rsidRPr="006314C9">
        <w:rPr>
          <w:lang w:val="en-GB"/>
        </w:rPr>
        <w:t>installation by installation</w:t>
      </w:r>
      <w:r w:rsidR="00413B09" w:rsidRPr="006314C9">
        <w:rPr>
          <w:lang w:val="en-GB"/>
        </w:rPr>
        <w:t xml:space="preserve"> level</w:t>
      </w:r>
      <w:r w:rsidR="00CB7FE2" w:rsidRPr="006314C9">
        <w:rPr>
          <w:lang w:val="en-GB"/>
        </w:rPr>
        <w:t xml:space="preserve">. </w:t>
      </w:r>
    </w:p>
    <w:p w:rsidR="00590337" w:rsidRPr="006314C9" w:rsidRDefault="00815D28">
      <w:pPr>
        <w:rPr>
          <w:lang w:val="en-GB"/>
        </w:rPr>
      </w:pPr>
      <w:r w:rsidRPr="006314C9">
        <w:rPr>
          <w:lang w:val="en-GB"/>
        </w:rPr>
        <w:t xml:space="preserve">Concerning the Regulation on </w:t>
      </w:r>
      <w:r w:rsidRPr="006314C9">
        <w:rPr>
          <w:i/>
          <w:lang w:val="en-GB"/>
        </w:rPr>
        <w:t>EMAS</w:t>
      </w:r>
      <w:r w:rsidRPr="006314C9">
        <w:rPr>
          <w:lang w:val="en-GB"/>
        </w:rPr>
        <w:t xml:space="preserve"> (EC) 1221/2009, the DCM no. 633 of 15.7.2015 has entered in force on the first of January 2017, but is not implemented on the ground. No promotion activities, communication with Chambers of Trade and Commerce, individual organizations so </w:t>
      </w:r>
      <w:proofErr w:type="spellStart"/>
      <w:r w:rsidRPr="006314C9">
        <w:rPr>
          <w:lang w:val="en-GB"/>
        </w:rPr>
        <w:t>far</w:t>
      </w:r>
      <w:r w:rsidR="00CB7FE2" w:rsidRPr="006314C9">
        <w:rPr>
          <w:lang w:val="en-GB"/>
        </w:rPr>
        <w:t>has</w:t>
      </w:r>
      <w:proofErr w:type="spellEnd"/>
      <w:r w:rsidR="00CB7FE2" w:rsidRPr="006314C9">
        <w:rPr>
          <w:lang w:val="en-GB"/>
        </w:rPr>
        <w:t xml:space="preserve"> happened</w:t>
      </w:r>
      <w:r w:rsidRPr="006314C9">
        <w:rPr>
          <w:lang w:val="en-GB"/>
        </w:rPr>
        <w:t xml:space="preserve">. </w:t>
      </w:r>
      <w:r w:rsidR="00CB7FE2" w:rsidRPr="006314C9">
        <w:rPr>
          <w:lang w:val="en-GB"/>
        </w:rPr>
        <w:t xml:space="preserve">There is </w:t>
      </w:r>
      <w:r w:rsidR="00413B09" w:rsidRPr="006314C9">
        <w:rPr>
          <w:lang w:val="en-GB"/>
        </w:rPr>
        <w:t xml:space="preserve">a </w:t>
      </w:r>
      <w:r w:rsidR="00CB7FE2" w:rsidRPr="006314C9">
        <w:rPr>
          <w:lang w:val="en-GB"/>
        </w:rPr>
        <w:t>very l</w:t>
      </w:r>
      <w:r w:rsidR="002E6883" w:rsidRPr="006314C9">
        <w:rPr>
          <w:lang w:val="en-GB"/>
        </w:rPr>
        <w:t>o</w:t>
      </w:r>
      <w:r w:rsidR="00CB7FE2" w:rsidRPr="006314C9">
        <w:rPr>
          <w:lang w:val="en-GB"/>
        </w:rPr>
        <w:t xml:space="preserve">w understanding of the EMAS in the country thus no interest exist for its application. </w:t>
      </w:r>
    </w:p>
    <w:p w:rsidR="00590337" w:rsidRPr="006314C9" w:rsidRDefault="00815D28">
      <w:pPr>
        <w:rPr>
          <w:rFonts w:cs="Times New Roman"/>
          <w:lang w:val="en-GB"/>
        </w:rPr>
      </w:pPr>
      <w:r w:rsidRPr="006314C9">
        <w:rPr>
          <w:lang w:val="en-GB"/>
        </w:rPr>
        <w:t xml:space="preserve">The Directive 2004/42/EC on </w:t>
      </w:r>
      <w:r w:rsidR="00DE10CB" w:rsidRPr="006314C9">
        <w:rPr>
          <w:i/>
          <w:lang w:val="en-GB"/>
        </w:rPr>
        <w:t xml:space="preserve">VOCs paints </w:t>
      </w:r>
      <w:r w:rsidRPr="006314C9">
        <w:rPr>
          <w:lang w:val="en-GB"/>
        </w:rPr>
        <w:t xml:space="preserve">and Directive (EU) 2015/2193 </w:t>
      </w:r>
      <w:r w:rsidRPr="006314C9">
        <w:rPr>
          <w:rFonts w:eastAsia="Times New Roman"/>
          <w:lang w:val="en-GB"/>
        </w:rPr>
        <w:t xml:space="preserve">on </w:t>
      </w:r>
      <w:r w:rsidR="00DE10CB" w:rsidRPr="006314C9">
        <w:rPr>
          <w:rFonts w:eastAsia="Times New Roman"/>
          <w:i/>
          <w:lang w:val="en-GB"/>
        </w:rPr>
        <w:t>M</w:t>
      </w:r>
      <w:r w:rsidRPr="006314C9">
        <w:rPr>
          <w:rFonts w:eastAsia="Times New Roman"/>
          <w:i/>
          <w:lang w:val="en-GB"/>
        </w:rPr>
        <w:t>edium combustion plants</w:t>
      </w:r>
      <w:r w:rsidRPr="006314C9">
        <w:rPr>
          <w:lang w:val="en-GB"/>
        </w:rPr>
        <w:t xml:space="preserve"> are in the initial stage of their implementation. Although the directive 2004/42/EC </w:t>
      </w:r>
      <w:r w:rsidR="00DE10CB" w:rsidRPr="006314C9">
        <w:rPr>
          <w:i/>
          <w:lang w:val="en-GB"/>
        </w:rPr>
        <w:t xml:space="preserve">VOCs paints </w:t>
      </w:r>
      <w:r w:rsidRPr="006314C9">
        <w:rPr>
          <w:lang w:val="en-GB"/>
        </w:rPr>
        <w:t xml:space="preserve">is fully transposed, its implementation is only </w:t>
      </w:r>
      <w:r w:rsidR="00CB7FE2" w:rsidRPr="006314C9">
        <w:rPr>
          <w:lang w:val="en-GB"/>
        </w:rPr>
        <w:t>related to introduced bans of placing on the marked the products identified in the directive</w:t>
      </w:r>
      <w:r w:rsidRPr="006314C9">
        <w:rPr>
          <w:lang w:val="en-GB"/>
        </w:rPr>
        <w:t xml:space="preserve">. </w:t>
      </w:r>
      <w:r w:rsidR="00CB7FE2" w:rsidRPr="006314C9">
        <w:rPr>
          <w:lang w:val="en-GB"/>
        </w:rPr>
        <w:t xml:space="preserve">However, the control on the market is not performed thus implementation could be consider as being </w:t>
      </w:r>
      <w:r w:rsidR="00413B09" w:rsidRPr="006314C9">
        <w:rPr>
          <w:lang w:val="en-GB"/>
        </w:rPr>
        <w:t>i</w:t>
      </w:r>
      <w:r w:rsidR="00CB7FE2" w:rsidRPr="006314C9">
        <w:rPr>
          <w:lang w:val="en-GB"/>
        </w:rPr>
        <w:t>n the ea</w:t>
      </w:r>
      <w:r w:rsidR="002E6883" w:rsidRPr="006314C9">
        <w:rPr>
          <w:lang w:val="en-GB"/>
        </w:rPr>
        <w:t>r</w:t>
      </w:r>
      <w:r w:rsidR="00CB7FE2" w:rsidRPr="006314C9">
        <w:rPr>
          <w:lang w:val="en-GB"/>
        </w:rPr>
        <w:t xml:space="preserve">ly stagy. </w:t>
      </w:r>
      <w:r w:rsidRPr="006314C9">
        <w:rPr>
          <w:lang w:val="en-GB"/>
        </w:rPr>
        <w:t xml:space="preserve">Among the main reasons identified for </w:t>
      </w:r>
      <w:proofErr w:type="gramStart"/>
      <w:r w:rsidRPr="006314C9">
        <w:rPr>
          <w:lang w:val="en-GB"/>
        </w:rPr>
        <w:t>a such</w:t>
      </w:r>
      <w:proofErr w:type="gramEnd"/>
      <w:r w:rsidRPr="006314C9">
        <w:rPr>
          <w:lang w:val="en-GB"/>
        </w:rPr>
        <w:t xml:space="preserve"> poor level of implementation of this directive is lack of human resources in the structure dealing with the implementation of the directive</w:t>
      </w:r>
      <w:r w:rsidR="005D1F3C" w:rsidRPr="006314C9">
        <w:rPr>
          <w:lang w:val="en-GB"/>
        </w:rPr>
        <w:t xml:space="preserve"> within </w:t>
      </w:r>
      <w:r w:rsidR="00413B09" w:rsidRPr="006314C9">
        <w:rPr>
          <w:lang w:val="en-GB"/>
        </w:rPr>
        <w:t xml:space="preserve">the </w:t>
      </w:r>
      <w:r w:rsidR="005D1F3C" w:rsidRPr="006314C9">
        <w:rPr>
          <w:lang w:val="en-GB"/>
        </w:rPr>
        <w:t xml:space="preserve">MIE, as </w:t>
      </w:r>
      <w:proofErr w:type="spellStart"/>
      <w:r w:rsidR="005D1F3C" w:rsidRPr="006314C9">
        <w:rPr>
          <w:lang w:val="en-GB"/>
        </w:rPr>
        <w:t>well</w:t>
      </w:r>
      <w:r w:rsidR="00413B09" w:rsidRPr="006314C9">
        <w:rPr>
          <w:lang w:val="en-GB"/>
        </w:rPr>
        <w:t>as</w:t>
      </w:r>
      <w:r w:rsidRPr="006314C9">
        <w:rPr>
          <w:lang w:val="en-GB"/>
        </w:rPr>
        <w:t>lack</w:t>
      </w:r>
      <w:proofErr w:type="spellEnd"/>
      <w:r w:rsidRPr="006314C9">
        <w:rPr>
          <w:lang w:val="en-GB"/>
        </w:rPr>
        <w:t xml:space="preserve"> </w:t>
      </w:r>
      <w:r w:rsidR="005D1F3C" w:rsidRPr="006314C9">
        <w:rPr>
          <w:lang w:val="en-GB"/>
        </w:rPr>
        <w:t xml:space="preserve">of </w:t>
      </w:r>
      <w:r w:rsidRPr="006314C9">
        <w:rPr>
          <w:lang w:val="en-GB"/>
        </w:rPr>
        <w:t xml:space="preserve">coordination among the responsible institutions.  </w:t>
      </w:r>
      <w:r w:rsidR="005D1F3C" w:rsidRPr="006314C9">
        <w:rPr>
          <w:lang w:val="en-GB"/>
        </w:rPr>
        <w:t xml:space="preserve">Regarding </w:t>
      </w:r>
      <w:r w:rsidRPr="006314C9">
        <w:rPr>
          <w:lang w:val="en-GB"/>
        </w:rPr>
        <w:t xml:space="preserve">2015/2193 </w:t>
      </w:r>
      <w:r w:rsidR="00366324" w:rsidRPr="006314C9">
        <w:rPr>
          <w:lang w:val="en-GB"/>
        </w:rPr>
        <w:t xml:space="preserve">directive </w:t>
      </w:r>
      <w:r w:rsidR="00275819" w:rsidRPr="006314C9">
        <w:rPr>
          <w:rFonts w:eastAsia="Times New Roman"/>
          <w:i/>
          <w:lang w:val="en-GB"/>
        </w:rPr>
        <w:t>M</w:t>
      </w:r>
      <w:r w:rsidRPr="006314C9">
        <w:rPr>
          <w:rFonts w:eastAsia="Times New Roman"/>
          <w:i/>
          <w:lang w:val="en-GB"/>
        </w:rPr>
        <w:t>edium combustion plants</w:t>
      </w:r>
      <w:r w:rsidRPr="006314C9">
        <w:rPr>
          <w:lang w:val="en-GB"/>
        </w:rPr>
        <w:t xml:space="preserve">, </w:t>
      </w:r>
      <w:r w:rsidR="005D1F3C" w:rsidRPr="006314C9">
        <w:rPr>
          <w:lang w:val="en-GB"/>
        </w:rPr>
        <w:t xml:space="preserve">relevant installations which are under the scope of this directive have not been identified. Even some of the emission limit values have </w:t>
      </w:r>
      <w:proofErr w:type="spellStart"/>
      <w:r w:rsidR="005D1F3C" w:rsidRPr="006314C9">
        <w:rPr>
          <w:lang w:val="en-GB"/>
        </w:rPr>
        <w:t>ben</w:t>
      </w:r>
      <w:proofErr w:type="spellEnd"/>
      <w:r w:rsidR="005D1F3C" w:rsidRPr="006314C9">
        <w:rPr>
          <w:lang w:val="en-GB"/>
        </w:rPr>
        <w:t xml:space="preserve"> introduces, such as for </w:t>
      </w:r>
      <w:proofErr w:type="spellStart"/>
      <w:r w:rsidRPr="006314C9">
        <w:rPr>
          <w:lang w:val="en-GB"/>
        </w:rPr>
        <w:t>NOx</w:t>
      </w:r>
      <w:proofErr w:type="spellEnd"/>
      <w:r w:rsidRPr="006314C9">
        <w:rPr>
          <w:lang w:val="en-GB"/>
        </w:rPr>
        <w:t xml:space="preserve">, </w:t>
      </w:r>
      <w:proofErr w:type="spellStart"/>
      <w:r w:rsidRPr="006314C9">
        <w:rPr>
          <w:lang w:val="en-GB"/>
        </w:rPr>
        <w:t>SOx</w:t>
      </w:r>
      <w:proofErr w:type="spellEnd"/>
      <w:r w:rsidRPr="006314C9">
        <w:rPr>
          <w:lang w:val="en-GB"/>
        </w:rPr>
        <w:t xml:space="preserve"> and dust</w:t>
      </w:r>
      <w:r w:rsidR="005D1F3C" w:rsidRPr="006314C9">
        <w:rPr>
          <w:lang w:val="en-GB"/>
        </w:rPr>
        <w:t xml:space="preserve">, however there is no adequate procedure </w:t>
      </w:r>
      <w:r w:rsidR="002E6883" w:rsidRPr="006314C9">
        <w:rPr>
          <w:lang w:val="en-GB"/>
        </w:rPr>
        <w:t xml:space="preserve">in place for their </w:t>
      </w:r>
      <w:r w:rsidR="00366324" w:rsidRPr="006314C9">
        <w:rPr>
          <w:lang w:val="en-GB"/>
        </w:rPr>
        <w:t>implementation through requirements for the corresponding</w:t>
      </w:r>
      <w:r w:rsidR="002E6883" w:rsidRPr="006314C9">
        <w:rPr>
          <w:lang w:val="en-GB"/>
        </w:rPr>
        <w:t xml:space="preserve"> installation</w:t>
      </w:r>
      <w:r w:rsidR="00366324" w:rsidRPr="006314C9">
        <w:rPr>
          <w:lang w:val="en-GB"/>
        </w:rPr>
        <w:t xml:space="preserve">s. </w:t>
      </w:r>
    </w:p>
    <w:p w:rsidR="00590337" w:rsidRPr="006314C9" w:rsidRDefault="00B544A1">
      <w:pPr>
        <w:rPr>
          <w:lang w:val="en-GB"/>
        </w:rPr>
      </w:pPr>
      <w:r w:rsidRPr="006314C9">
        <w:rPr>
          <w:lang w:val="en-GB"/>
        </w:rPr>
        <w:lastRenderedPageBreak/>
        <w:t xml:space="preserve">Directive 2012/18/EU </w:t>
      </w:r>
      <w:proofErr w:type="spellStart"/>
      <w:r w:rsidR="002F0A16" w:rsidRPr="006314C9">
        <w:rPr>
          <w:i/>
          <w:lang w:val="en-GB"/>
        </w:rPr>
        <w:t>Seveso</w:t>
      </w:r>
      <w:proofErr w:type="spellEnd"/>
      <w:r w:rsidR="002F0A16" w:rsidRPr="006314C9">
        <w:rPr>
          <w:i/>
          <w:lang w:val="en-GB"/>
        </w:rPr>
        <w:t xml:space="preserve"> </w:t>
      </w:r>
      <w:proofErr w:type="spellStart"/>
      <w:r w:rsidR="002F0A16" w:rsidRPr="006314C9">
        <w:rPr>
          <w:i/>
          <w:lang w:val="en-GB"/>
        </w:rPr>
        <w:t>III</w:t>
      </w:r>
      <w:r w:rsidRPr="006314C9">
        <w:rPr>
          <w:lang w:val="en-GB"/>
        </w:rPr>
        <w:t>is</w:t>
      </w:r>
      <w:proofErr w:type="spellEnd"/>
      <w:r w:rsidRPr="006314C9">
        <w:rPr>
          <w:lang w:val="en-GB"/>
        </w:rPr>
        <w:t xml:space="preserve"> not transposed and thus not implemented. There is no evidence if there is any </w:t>
      </w:r>
      <w:proofErr w:type="gramStart"/>
      <w:r w:rsidRPr="006314C9">
        <w:rPr>
          <w:lang w:val="en-GB"/>
        </w:rPr>
        <w:t>installations</w:t>
      </w:r>
      <w:proofErr w:type="gramEnd"/>
      <w:r w:rsidRPr="006314C9">
        <w:rPr>
          <w:lang w:val="en-GB"/>
        </w:rPr>
        <w:t xml:space="preserve"> in Albania which is relevant for this directive. Efforts should be made first to assess the current situation in Albania in order to understand how and what instruments to use to </w:t>
      </w:r>
      <w:r w:rsidR="002E6883" w:rsidRPr="006314C9">
        <w:rPr>
          <w:lang w:val="en-GB"/>
        </w:rPr>
        <w:t xml:space="preserve">transpose and </w:t>
      </w:r>
      <w:r w:rsidRPr="006314C9">
        <w:rPr>
          <w:lang w:val="en-GB"/>
        </w:rPr>
        <w:t xml:space="preserve">implement this directive. </w:t>
      </w:r>
    </w:p>
    <w:p w:rsidR="00815D28" w:rsidRPr="006314C9" w:rsidRDefault="00815D28" w:rsidP="00152F5E">
      <w:pPr>
        <w:rPr>
          <w:rFonts w:cs="Times New Roman"/>
          <w:lang w:val="en-GB"/>
        </w:rPr>
      </w:pPr>
      <w:r w:rsidRPr="006314C9">
        <w:rPr>
          <w:rFonts w:cs="Times New Roman"/>
          <w:b/>
          <w:lang w:val="en-GB"/>
        </w:rPr>
        <w:t>Administrative capacity</w:t>
      </w:r>
    </w:p>
    <w:p w:rsidR="00235CEF" w:rsidRPr="006314C9" w:rsidRDefault="00815D28" w:rsidP="00366324">
      <w:pPr>
        <w:rPr>
          <w:lang w:val="en-GB"/>
        </w:rPr>
      </w:pPr>
      <w:r w:rsidRPr="006314C9">
        <w:rPr>
          <w:lang w:val="en-GB"/>
        </w:rPr>
        <w:t xml:space="preserve">The mains </w:t>
      </w:r>
      <w:proofErr w:type="gramStart"/>
      <w:r w:rsidRPr="006314C9">
        <w:rPr>
          <w:lang w:val="en-GB"/>
        </w:rPr>
        <w:t>institution</w:t>
      </w:r>
      <w:r w:rsidR="00366324" w:rsidRPr="006314C9">
        <w:rPr>
          <w:lang w:val="en-GB"/>
        </w:rPr>
        <w:t>s</w:t>
      </w:r>
      <w:r w:rsidRPr="006314C9">
        <w:rPr>
          <w:lang w:val="en-GB"/>
        </w:rPr>
        <w:t xml:space="preserve"> responsible for the transposition and implementation of </w:t>
      </w:r>
      <w:r w:rsidR="0062272B" w:rsidRPr="006314C9">
        <w:rPr>
          <w:lang w:val="en-GB"/>
        </w:rPr>
        <w:t>above</w:t>
      </w:r>
      <w:r w:rsidRPr="006314C9">
        <w:rPr>
          <w:lang w:val="en-GB"/>
        </w:rPr>
        <w:t xml:space="preserve"> directives and regulations of this sub</w:t>
      </w:r>
      <w:r w:rsidR="0062272B" w:rsidRPr="006314C9">
        <w:rPr>
          <w:lang w:val="en-GB"/>
        </w:rPr>
        <w:t>-</w:t>
      </w:r>
      <w:r w:rsidR="00366324" w:rsidRPr="006314C9">
        <w:rPr>
          <w:lang w:val="en-GB"/>
        </w:rPr>
        <w:t xml:space="preserve">chapter </w:t>
      </w:r>
      <w:r w:rsidRPr="006314C9">
        <w:rPr>
          <w:lang w:val="en-GB"/>
        </w:rPr>
        <w:t>is</w:t>
      </w:r>
      <w:proofErr w:type="gramEnd"/>
      <w:r w:rsidRPr="006314C9">
        <w:rPr>
          <w:lang w:val="en-GB"/>
        </w:rPr>
        <w:t xml:space="preserve"> the Ministry of Tourism and Environment, National Environmental Agency and the State Inspectorate for Environment, Forests, Waters and Tourism.  </w:t>
      </w:r>
    </w:p>
    <w:p w:rsidR="00235CEF" w:rsidRPr="006314C9" w:rsidRDefault="00235CEF" w:rsidP="00366324">
      <w:pPr>
        <w:rPr>
          <w:lang w:val="en-GB"/>
        </w:rPr>
      </w:pPr>
      <w:r w:rsidRPr="006314C9">
        <w:rPr>
          <w:i/>
          <w:lang w:val="en-GB"/>
        </w:rPr>
        <w:t>IED</w:t>
      </w:r>
      <w:r w:rsidRPr="006314C9">
        <w:rPr>
          <w:lang w:val="en-GB"/>
        </w:rPr>
        <w:t xml:space="preserve"> and </w:t>
      </w:r>
      <w:r w:rsidR="00275819" w:rsidRPr="006314C9">
        <w:rPr>
          <w:i/>
          <w:lang w:val="en-GB"/>
        </w:rPr>
        <w:t>Medium combustion plants</w:t>
      </w:r>
      <w:r w:rsidR="00275819" w:rsidRPr="006314C9">
        <w:rPr>
          <w:lang w:val="en-GB"/>
        </w:rPr>
        <w:t xml:space="preserve"> directives </w:t>
      </w:r>
      <w:r w:rsidRPr="006314C9">
        <w:rPr>
          <w:lang w:val="en-GB"/>
        </w:rPr>
        <w:t xml:space="preserve">are under the responsibility of the NEA within the permitting obligations. </w:t>
      </w:r>
      <w:r w:rsidR="00D80B0D" w:rsidRPr="006314C9">
        <w:rPr>
          <w:lang w:val="en-GB"/>
        </w:rPr>
        <w:t xml:space="preserve">NEA is responsible for monitoring implementation and compliance with the environmental standards during the permitting process (issuing Type </w:t>
      </w:r>
      <w:proofErr w:type="gramStart"/>
      <w:r w:rsidR="00D80B0D" w:rsidRPr="006314C9">
        <w:rPr>
          <w:lang w:val="en-GB"/>
        </w:rPr>
        <w:t>A</w:t>
      </w:r>
      <w:proofErr w:type="gramEnd"/>
      <w:r w:rsidR="00D80B0D" w:rsidRPr="006314C9">
        <w:rPr>
          <w:lang w:val="en-GB"/>
        </w:rPr>
        <w:t xml:space="preserve"> &amp; B environmental permits). The Permitting Sector at NEA has a staff of 4 people (chief of sector and 3 specialists). Regional Environment Agencies, issuing Type C environmental permits</w:t>
      </w:r>
      <w:r w:rsidR="0062272B" w:rsidRPr="006314C9">
        <w:rPr>
          <w:lang w:val="en-GB"/>
        </w:rPr>
        <w:t xml:space="preserve"> soo</w:t>
      </w:r>
      <w:r w:rsidR="00366324" w:rsidRPr="006314C9">
        <w:rPr>
          <w:lang w:val="en-GB"/>
        </w:rPr>
        <w:t xml:space="preserve">n </w:t>
      </w:r>
      <w:r w:rsidR="0062272B" w:rsidRPr="006314C9">
        <w:rPr>
          <w:lang w:val="en-GB"/>
        </w:rPr>
        <w:t>t</w:t>
      </w:r>
      <w:r w:rsidR="00366324" w:rsidRPr="006314C9">
        <w:rPr>
          <w:lang w:val="en-GB"/>
        </w:rPr>
        <w:t>o</w:t>
      </w:r>
      <w:r w:rsidR="0062272B" w:rsidRPr="006314C9">
        <w:rPr>
          <w:lang w:val="en-GB"/>
        </w:rPr>
        <w:t xml:space="preserve"> be abolished</w:t>
      </w:r>
      <w:r w:rsidR="00366324" w:rsidRPr="006314C9">
        <w:rPr>
          <w:lang w:val="en-GB"/>
        </w:rPr>
        <w:t xml:space="preserve">. </w:t>
      </w:r>
      <w:r w:rsidRPr="006314C9">
        <w:rPr>
          <w:lang w:val="en-GB"/>
        </w:rPr>
        <w:t xml:space="preserve">There </w:t>
      </w:r>
      <w:r w:rsidR="00366324" w:rsidRPr="006314C9">
        <w:rPr>
          <w:lang w:val="en-GB"/>
        </w:rPr>
        <w:t xml:space="preserve">is </w:t>
      </w:r>
      <w:r w:rsidRPr="006314C9">
        <w:rPr>
          <w:lang w:val="en-GB"/>
        </w:rPr>
        <w:t xml:space="preserve">no person </w:t>
      </w:r>
      <w:r w:rsidR="00366324" w:rsidRPr="006314C9">
        <w:rPr>
          <w:lang w:val="en-GB"/>
        </w:rPr>
        <w:t>i</w:t>
      </w:r>
      <w:r w:rsidRPr="006314C9">
        <w:rPr>
          <w:lang w:val="en-GB"/>
        </w:rPr>
        <w:t xml:space="preserve">n </w:t>
      </w:r>
      <w:r w:rsidR="00366324" w:rsidRPr="006314C9">
        <w:rPr>
          <w:lang w:val="en-GB"/>
        </w:rPr>
        <w:t xml:space="preserve">the </w:t>
      </w:r>
      <w:r w:rsidRPr="006314C9">
        <w:rPr>
          <w:lang w:val="en-GB"/>
        </w:rPr>
        <w:t xml:space="preserve">MTE who is solely responsible for these directives but rather competencies are performed by two staff members responsible for air. </w:t>
      </w:r>
    </w:p>
    <w:p w:rsidR="00815D28" w:rsidRPr="006314C9" w:rsidRDefault="005D1F3C" w:rsidP="00152F5E">
      <w:pPr>
        <w:rPr>
          <w:rFonts w:cs="Times New Roman"/>
          <w:lang w:val="en-GB"/>
        </w:rPr>
      </w:pPr>
      <w:r w:rsidRPr="006314C9">
        <w:rPr>
          <w:rFonts w:cs="Times New Roman"/>
          <w:lang w:val="en-GB"/>
        </w:rPr>
        <w:t>For Directive 2004/42/</w:t>
      </w:r>
      <w:proofErr w:type="spellStart"/>
      <w:r w:rsidRPr="006314C9">
        <w:rPr>
          <w:rFonts w:cs="Times New Roman"/>
          <w:lang w:val="en-GB"/>
        </w:rPr>
        <w:t>ECon</w:t>
      </w:r>
      <w:proofErr w:type="spellEnd"/>
      <w:r w:rsidRPr="006314C9">
        <w:rPr>
          <w:rFonts w:cs="Times New Roman"/>
          <w:lang w:val="en-GB"/>
        </w:rPr>
        <w:t xml:space="preserve"> </w:t>
      </w:r>
      <w:proofErr w:type="spellStart"/>
      <w:r w:rsidRPr="006314C9">
        <w:rPr>
          <w:rFonts w:cs="Times New Roman"/>
          <w:i/>
          <w:lang w:val="en-GB"/>
        </w:rPr>
        <w:t>VOC</w:t>
      </w:r>
      <w:r w:rsidR="00275819" w:rsidRPr="006314C9">
        <w:rPr>
          <w:rFonts w:cs="Times New Roman"/>
          <w:i/>
          <w:lang w:val="en-GB"/>
        </w:rPr>
        <w:t>spaints</w:t>
      </w:r>
      <w:r w:rsidRPr="006314C9">
        <w:rPr>
          <w:rFonts w:cs="Times New Roman"/>
          <w:lang w:val="en-GB"/>
        </w:rPr>
        <w:t>responsible</w:t>
      </w:r>
      <w:proofErr w:type="spellEnd"/>
      <w:r w:rsidRPr="006314C9">
        <w:rPr>
          <w:rFonts w:cs="Times New Roman"/>
          <w:lang w:val="en-GB"/>
        </w:rPr>
        <w:t xml:space="preserve"> authority is the MIE and the market inspectorate, which has no person which is responsible for this directive.  </w:t>
      </w:r>
      <w:r w:rsidR="00B544A1" w:rsidRPr="006314C9">
        <w:rPr>
          <w:rFonts w:cs="Times New Roman"/>
          <w:lang w:val="en-GB"/>
        </w:rPr>
        <w:t xml:space="preserve">For the Directive 2012/18/EU </w:t>
      </w:r>
      <w:proofErr w:type="spellStart"/>
      <w:r w:rsidR="002F0A16" w:rsidRPr="006314C9">
        <w:rPr>
          <w:rFonts w:cs="Times New Roman"/>
          <w:i/>
          <w:lang w:val="en-GB"/>
        </w:rPr>
        <w:t>Seveso</w:t>
      </w:r>
      <w:proofErr w:type="spellEnd"/>
      <w:r w:rsidR="002F0A16" w:rsidRPr="006314C9">
        <w:rPr>
          <w:rFonts w:cs="Times New Roman"/>
          <w:i/>
          <w:lang w:val="en-GB"/>
        </w:rPr>
        <w:t xml:space="preserve"> </w:t>
      </w:r>
      <w:proofErr w:type="spellStart"/>
      <w:r w:rsidR="002F0A16" w:rsidRPr="006314C9">
        <w:rPr>
          <w:rFonts w:cs="Times New Roman"/>
          <w:i/>
          <w:lang w:val="en-GB"/>
        </w:rPr>
        <w:t>III</w:t>
      </w:r>
      <w:r w:rsidR="00B544A1" w:rsidRPr="006314C9">
        <w:rPr>
          <w:rFonts w:cs="Times New Roman"/>
          <w:lang w:val="en-GB"/>
        </w:rPr>
        <w:t>it</w:t>
      </w:r>
      <w:proofErr w:type="spellEnd"/>
      <w:r w:rsidR="00B544A1" w:rsidRPr="006314C9">
        <w:rPr>
          <w:rFonts w:cs="Times New Roman"/>
          <w:lang w:val="en-GB"/>
        </w:rPr>
        <w:t xml:space="preserve"> is not clear which institutions should be responsible </w:t>
      </w:r>
      <w:r w:rsidR="00235CEF" w:rsidRPr="006314C9">
        <w:rPr>
          <w:rFonts w:cs="Times New Roman"/>
          <w:lang w:val="en-GB"/>
        </w:rPr>
        <w:t xml:space="preserve">to transpose and implement. The main CA is </w:t>
      </w:r>
      <w:r w:rsidR="00275819" w:rsidRPr="006314C9">
        <w:rPr>
          <w:rFonts w:cs="Times New Roman"/>
          <w:lang w:val="en-GB"/>
        </w:rPr>
        <w:t xml:space="preserve">assigned to </w:t>
      </w:r>
      <w:r w:rsidR="00235CEF" w:rsidRPr="006314C9">
        <w:rPr>
          <w:rFonts w:cs="Times New Roman"/>
          <w:lang w:val="en-GB"/>
        </w:rPr>
        <w:t>MTE however</w:t>
      </w:r>
      <w:r w:rsidR="00275819" w:rsidRPr="006314C9">
        <w:rPr>
          <w:rFonts w:cs="Times New Roman"/>
          <w:lang w:val="en-GB"/>
        </w:rPr>
        <w:t xml:space="preserve">, considering the scope of the directive; </w:t>
      </w:r>
      <w:r w:rsidR="00235CEF" w:rsidRPr="006314C9">
        <w:rPr>
          <w:rFonts w:cs="Times New Roman"/>
          <w:lang w:val="en-GB"/>
        </w:rPr>
        <w:t xml:space="preserve">the implementation </w:t>
      </w:r>
      <w:r w:rsidR="00275819" w:rsidRPr="006314C9">
        <w:rPr>
          <w:rFonts w:cs="Times New Roman"/>
          <w:lang w:val="en-GB"/>
        </w:rPr>
        <w:t xml:space="preserve">should be within the </w:t>
      </w:r>
      <w:r w:rsidR="0062272B" w:rsidRPr="006314C9">
        <w:rPr>
          <w:rFonts w:cs="Times New Roman"/>
          <w:lang w:val="en-GB"/>
        </w:rPr>
        <w:t>Ministry or Interior</w:t>
      </w:r>
      <w:r w:rsidR="00235CEF" w:rsidRPr="006314C9">
        <w:rPr>
          <w:rFonts w:cs="Times New Roman"/>
          <w:lang w:val="en-GB"/>
        </w:rPr>
        <w:t xml:space="preserve">. Clarification of this issue is important </w:t>
      </w:r>
      <w:r w:rsidR="00366324" w:rsidRPr="006314C9">
        <w:rPr>
          <w:rFonts w:cs="Times New Roman"/>
          <w:lang w:val="en-GB"/>
        </w:rPr>
        <w:t xml:space="preserve">in order </w:t>
      </w:r>
      <w:r w:rsidR="00235CEF" w:rsidRPr="006314C9">
        <w:rPr>
          <w:rFonts w:cs="Times New Roman"/>
          <w:lang w:val="en-GB"/>
        </w:rPr>
        <w:t xml:space="preserve">to take the next step </w:t>
      </w:r>
      <w:r w:rsidR="0062272B" w:rsidRPr="006314C9">
        <w:rPr>
          <w:rFonts w:cs="Times New Roman"/>
          <w:lang w:val="en-GB"/>
        </w:rPr>
        <w:t>for</w:t>
      </w:r>
      <w:r w:rsidR="00235CEF" w:rsidRPr="006314C9">
        <w:rPr>
          <w:rFonts w:cs="Times New Roman"/>
          <w:lang w:val="en-GB"/>
        </w:rPr>
        <w:t xml:space="preserve"> transposi</w:t>
      </w:r>
      <w:r w:rsidR="00366324" w:rsidRPr="006314C9">
        <w:rPr>
          <w:rFonts w:cs="Times New Roman"/>
          <w:lang w:val="en-GB"/>
        </w:rPr>
        <w:t xml:space="preserve">tion of </w:t>
      </w:r>
      <w:r w:rsidR="00235CEF" w:rsidRPr="006314C9">
        <w:rPr>
          <w:rFonts w:cs="Times New Roman"/>
          <w:lang w:val="en-GB"/>
        </w:rPr>
        <w:t xml:space="preserve">this directive. </w:t>
      </w:r>
    </w:p>
    <w:p w:rsidR="00815D28" w:rsidRPr="006314C9" w:rsidRDefault="00815D28" w:rsidP="00366324">
      <w:pPr>
        <w:rPr>
          <w:lang w:val="en-GB"/>
        </w:rPr>
      </w:pPr>
      <w:r w:rsidRPr="006314C9">
        <w:rPr>
          <w:lang w:val="en-GB"/>
        </w:rPr>
        <w:t xml:space="preserve">It is clear lack of capacities in the responsible institutions, and especially on the field of </w:t>
      </w:r>
      <w:proofErr w:type="spellStart"/>
      <w:r w:rsidR="00366324" w:rsidRPr="006314C9">
        <w:rPr>
          <w:lang w:val="en-GB"/>
        </w:rPr>
        <w:t>inspection</w:t>
      </w:r>
      <w:r w:rsidRPr="006314C9">
        <w:rPr>
          <w:lang w:val="en-GB"/>
        </w:rPr>
        <w:t>and</w:t>
      </w:r>
      <w:proofErr w:type="spellEnd"/>
      <w:r w:rsidRPr="006314C9">
        <w:rPr>
          <w:lang w:val="en-GB"/>
        </w:rPr>
        <w:t xml:space="preserve"> law enforcement. Knowledge and experience of the experts working especially in regional branches of the National </w:t>
      </w:r>
      <w:r w:rsidR="00366324" w:rsidRPr="006314C9">
        <w:rPr>
          <w:lang w:val="en-GB"/>
        </w:rPr>
        <w:t xml:space="preserve">Environmental </w:t>
      </w:r>
      <w:r w:rsidRPr="006314C9">
        <w:rPr>
          <w:lang w:val="en-GB"/>
        </w:rPr>
        <w:t>Agency and on the State Inspectorate of Environment, Forests, Waters and Tourism has to improve considerably and the staff number has to increase. This also concerns necessary improvements for equipment (cars, computers, laboratory equipment, laboratory kits etc.).</w:t>
      </w:r>
    </w:p>
    <w:p w:rsidR="00815D28" w:rsidRPr="006314C9" w:rsidRDefault="00815D28" w:rsidP="00152F5E">
      <w:pPr>
        <w:rPr>
          <w:rFonts w:cs="Times New Roman"/>
          <w:lang w:val="en-GB"/>
        </w:rPr>
      </w:pPr>
      <w:r w:rsidRPr="006314C9">
        <w:rPr>
          <w:rFonts w:cs="Times New Roman"/>
          <w:b/>
          <w:lang w:val="en-GB"/>
        </w:rPr>
        <w:t xml:space="preserve">Summary </w:t>
      </w:r>
    </w:p>
    <w:tbl>
      <w:tblPr>
        <w:tblStyle w:val="TableGrid"/>
        <w:tblW w:w="5000" w:type="pct"/>
        <w:tblLook w:val="04A0"/>
      </w:tblPr>
      <w:tblGrid>
        <w:gridCol w:w="2393"/>
        <w:gridCol w:w="2395"/>
        <w:gridCol w:w="2393"/>
        <w:gridCol w:w="2395"/>
      </w:tblGrid>
      <w:tr w:rsidR="00815D28" w:rsidRPr="006314C9" w:rsidTr="00121BBC">
        <w:tc>
          <w:tcPr>
            <w:tcW w:w="2393" w:type="dxa"/>
          </w:tcPr>
          <w:p w:rsidR="00815D28" w:rsidRPr="006314C9" w:rsidRDefault="002F0A16" w:rsidP="00152F5E">
            <w:pPr>
              <w:spacing w:before="60" w:after="60"/>
              <w:contextualSpacing/>
              <w:jc w:val="center"/>
              <w:rPr>
                <w:rFonts w:cs="Times New Roman"/>
                <w:b/>
                <w:sz w:val="20"/>
                <w:szCs w:val="20"/>
                <w:lang w:val="en-GB"/>
              </w:rPr>
            </w:pPr>
            <w:r w:rsidRPr="006314C9">
              <w:rPr>
                <w:rFonts w:cs="Times New Roman"/>
                <w:b/>
                <w:sz w:val="20"/>
                <w:szCs w:val="20"/>
                <w:lang w:val="en-GB"/>
              </w:rPr>
              <w:t>Directive/regulation</w:t>
            </w:r>
          </w:p>
        </w:tc>
        <w:tc>
          <w:tcPr>
            <w:tcW w:w="2395" w:type="dxa"/>
          </w:tcPr>
          <w:p w:rsidR="00815D28" w:rsidRPr="006314C9" w:rsidRDefault="002F0A16" w:rsidP="00152F5E">
            <w:pPr>
              <w:spacing w:before="60" w:after="60"/>
              <w:contextualSpacing/>
              <w:jc w:val="center"/>
              <w:rPr>
                <w:rFonts w:cs="Times New Roman"/>
                <w:b/>
                <w:sz w:val="20"/>
                <w:szCs w:val="20"/>
                <w:lang w:val="en-GB"/>
              </w:rPr>
            </w:pPr>
            <w:r w:rsidRPr="006314C9">
              <w:rPr>
                <w:rFonts w:cs="Times New Roman"/>
                <w:b/>
                <w:sz w:val="20"/>
                <w:szCs w:val="20"/>
                <w:lang w:val="en-GB"/>
              </w:rPr>
              <w:t>Main competent authority</w:t>
            </w:r>
          </w:p>
        </w:tc>
        <w:tc>
          <w:tcPr>
            <w:tcW w:w="2393" w:type="dxa"/>
          </w:tcPr>
          <w:p w:rsidR="00815D28" w:rsidRPr="006314C9" w:rsidRDefault="002F0A16" w:rsidP="00152F5E">
            <w:pPr>
              <w:spacing w:before="60" w:after="60"/>
              <w:contextualSpacing/>
              <w:jc w:val="center"/>
              <w:rPr>
                <w:rFonts w:cs="Times New Roman"/>
                <w:b/>
                <w:sz w:val="20"/>
                <w:szCs w:val="20"/>
                <w:lang w:val="en-GB"/>
              </w:rPr>
            </w:pPr>
            <w:r w:rsidRPr="006314C9">
              <w:rPr>
                <w:rFonts w:cs="Times New Roman"/>
                <w:b/>
                <w:sz w:val="20"/>
                <w:szCs w:val="20"/>
                <w:lang w:val="en-GB"/>
              </w:rPr>
              <w:t>Level of transposition</w:t>
            </w:r>
          </w:p>
        </w:tc>
        <w:tc>
          <w:tcPr>
            <w:tcW w:w="2395" w:type="dxa"/>
          </w:tcPr>
          <w:p w:rsidR="00815D28" w:rsidRPr="006314C9" w:rsidRDefault="002F0A16" w:rsidP="00152F5E">
            <w:pPr>
              <w:spacing w:before="60" w:after="60"/>
              <w:contextualSpacing/>
              <w:jc w:val="center"/>
              <w:rPr>
                <w:rFonts w:cs="Times New Roman"/>
                <w:b/>
                <w:sz w:val="20"/>
                <w:szCs w:val="20"/>
                <w:lang w:val="en-GB"/>
              </w:rPr>
            </w:pPr>
            <w:r w:rsidRPr="006314C9">
              <w:rPr>
                <w:rFonts w:cs="Times New Roman"/>
                <w:b/>
                <w:sz w:val="20"/>
                <w:szCs w:val="20"/>
                <w:lang w:val="en-GB"/>
              </w:rPr>
              <w:t>Level of implementation</w:t>
            </w:r>
          </w:p>
        </w:tc>
      </w:tr>
      <w:tr w:rsidR="00121BBC" w:rsidRPr="006314C9" w:rsidTr="00121BBC">
        <w:tc>
          <w:tcPr>
            <w:tcW w:w="2393" w:type="dxa"/>
          </w:tcPr>
          <w:p w:rsidR="00121BBC" w:rsidRPr="006314C9" w:rsidRDefault="00121BBC" w:rsidP="001970C3">
            <w:pPr>
              <w:spacing w:before="60" w:after="60"/>
              <w:contextualSpacing/>
              <w:jc w:val="left"/>
              <w:rPr>
                <w:rFonts w:cs="Times New Roman"/>
                <w:sz w:val="20"/>
                <w:szCs w:val="20"/>
                <w:lang w:val="en-GB"/>
              </w:rPr>
            </w:pPr>
            <w:r w:rsidRPr="006314C9">
              <w:rPr>
                <w:rFonts w:cs="Times New Roman"/>
                <w:sz w:val="20"/>
                <w:szCs w:val="20"/>
                <w:lang w:val="en-GB"/>
              </w:rPr>
              <w:t>2010/75/EU</w:t>
            </w:r>
          </w:p>
          <w:p w:rsidR="00121BBC" w:rsidRPr="006314C9" w:rsidRDefault="00B95D6A" w:rsidP="00B27FEA">
            <w:pPr>
              <w:spacing w:before="60" w:after="60"/>
              <w:contextualSpacing/>
              <w:jc w:val="left"/>
              <w:rPr>
                <w:rFonts w:cs="Times New Roman"/>
                <w:i/>
                <w:sz w:val="20"/>
                <w:szCs w:val="20"/>
                <w:lang w:val="en-GB"/>
              </w:rPr>
            </w:pPr>
            <w:r w:rsidRPr="006314C9">
              <w:rPr>
                <w:rFonts w:cs="Times New Roman"/>
                <w:b/>
                <w:i/>
                <w:sz w:val="20"/>
                <w:szCs w:val="20"/>
                <w:lang w:val="en-GB"/>
              </w:rPr>
              <w:t>IED</w:t>
            </w:r>
          </w:p>
        </w:tc>
        <w:tc>
          <w:tcPr>
            <w:tcW w:w="2395" w:type="dxa"/>
          </w:tcPr>
          <w:p w:rsidR="00121BBC" w:rsidRPr="006314C9" w:rsidRDefault="00121BBC" w:rsidP="00152F5E">
            <w:pPr>
              <w:spacing w:before="60" w:after="60"/>
              <w:contextualSpacing/>
              <w:jc w:val="left"/>
              <w:rPr>
                <w:rFonts w:cs="Times New Roman"/>
                <w:sz w:val="20"/>
                <w:szCs w:val="20"/>
                <w:lang w:val="en-GB"/>
              </w:rPr>
            </w:pPr>
            <w:r w:rsidRPr="006314C9">
              <w:rPr>
                <w:rFonts w:cs="Times New Roman"/>
                <w:sz w:val="20"/>
                <w:szCs w:val="20"/>
                <w:lang w:val="en-GB"/>
              </w:rPr>
              <w:t>MTE</w:t>
            </w:r>
          </w:p>
        </w:tc>
        <w:tc>
          <w:tcPr>
            <w:tcW w:w="2393" w:type="dxa"/>
          </w:tcPr>
          <w:p w:rsidR="00121BBC" w:rsidRPr="006314C9" w:rsidRDefault="00121BBC" w:rsidP="001970C3">
            <w:pPr>
              <w:spacing w:before="60" w:after="60"/>
              <w:contextualSpacing/>
              <w:jc w:val="left"/>
              <w:rPr>
                <w:rFonts w:cs="Times New Roman"/>
                <w:sz w:val="20"/>
                <w:szCs w:val="20"/>
                <w:lang w:val="en-GB"/>
              </w:rPr>
            </w:pPr>
            <w:r w:rsidRPr="006314C9">
              <w:rPr>
                <w:rFonts w:cs="Times New Roman"/>
                <w:sz w:val="20"/>
                <w:szCs w:val="20"/>
                <w:lang w:val="en-GB"/>
              </w:rPr>
              <w:t>Partially;</w:t>
            </w:r>
          </w:p>
          <w:p w:rsidR="00121BBC"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70</w:t>
            </w:r>
            <w:r w:rsidR="00121BBC" w:rsidRPr="006314C9">
              <w:rPr>
                <w:rFonts w:cs="Times New Roman"/>
                <w:sz w:val="20"/>
                <w:szCs w:val="20"/>
                <w:lang w:val="en-GB"/>
              </w:rPr>
              <w:t>%</w:t>
            </w:r>
          </w:p>
        </w:tc>
        <w:tc>
          <w:tcPr>
            <w:tcW w:w="2395" w:type="dxa"/>
          </w:tcPr>
          <w:p w:rsidR="00121BBC"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Advanced</w:t>
            </w:r>
          </w:p>
        </w:tc>
      </w:tr>
      <w:tr w:rsidR="00121BBC" w:rsidRPr="006314C9" w:rsidTr="00121BBC">
        <w:tc>
          <w:tcPr>
            <w:tcW w:w="2393" w:type="dxa"/>
          </w:tcPr>
          <w:p w:rsidR="00121BBC" w:rsidRPr="006314C9" w:rsidRDefault="00121BBC" w:rsidP="001970C3">
            <w:pPr>
              <w:spacing w:before="60" w:after="60"/>
              <w:contextualSpacing/>
              <w:jc w:val="left"/>
              <w:rPr>
                <w:rFonts w:cs="Times New Roman"/>
                <w:sz w:val="20"/>
                <w:szCs w:val="20"/>
                <w:lang w:val="en-GB"/>
              </w:rPr>
            </w:pPr>
            <w:r w:rsidRPr="006314C9">
              <w:rPr>
                <w:rFonts w:cs="Times New Roman"/>
                <w:sz w:val="20"/>
                <w:szCs w:val="20"/>
                <w:lang w:val="en-GB"/>
              </w:rPr>
              <w:t>20</w:t>
            </w:r>
            <w:r w:rsidR="00B95D6A" w:rsidRPr="006314C9">
              <w:rPr>
                <w:rFonts w:cs="Times New Roman"/>
                <w:sz w:val="20"/>
                <w:szCs w:val="20"/>
                <w:lang w:val="en-GB"/>
              </w:rPr>
              <w:t>12/18/EU</w:t>
            </w:r>
          </w:p>
          <w:p w:rsidR="00121BBC" w:rsidRPr="006314C9" w:rsidRDefault="00B95D6A" w:rsidP="00B27FEA">
            <w:pPr>
              <w:spacing w:before="60" w:after="60"/>
              <w:contextualSpacing/>
              <w:jc w:val="left"/>
              <w:rPr>
                <w:rFonts w:cs="Times New Roman"/>
                <w:i/>
                <w:sz w:val="20"/>
                <w:szCs w:val="20"/>
                <w:lang w:val="en-GB"/>
              </w:rPr>
            </w:pPr>
            <w:proofErr w:type="spellStart"/>
            <w:r w:rsidRPr="006314C9">
              <w:rPr>
                <w:rFonts w:cs="Times New Roman"/>
                <w:b/>
                <w:i/>
                <w:sz w:val="20"/>
                <w:szCs w:val="20"/>
                <w:lang w:val="en-GB"/>
              </w:rPr>
              <w:t>Seveso</w:t>
            </w:r>
            <w:proofErr w:type="spellEnd"/>
            <w:r w:rsidRPr="006314C9">
              <w:rPr>
                <w:rFonts w:cs="Times New Roman"/>
                <w:b/>
                <w:i/>
                <w:sz w:val="20"/>
                <w:szCs w:val="20"/>
                <w:lang w:val="en-GB"/>
              </w:rPr>
              <w:t xml:space="preserve"> III</w:t>
            </w:r>
          </w:p>
        </w:tc>
        <w:tc>
          <w:tcPr>
            <w:tcW w:w="2395" w:type="dxa"/>
          </w:tcPr>
          <w:p w:rsidR="00121BBC"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MTE</w:t>
            </w:r>
            <w:r w:rsidR="00275819" w:rsidRPr="006314C9">
              <w:rPr>
                <w:rFonts w:cs="Times New Roman"/>
                <w:sz w:val="20"/>
                <w:szCs w:val="20"/>
                <w:lang w:val="en-GB"/>
              </w:rPr>
              <w:t xml:space="preserve"> (to be clarified with Ministry of Interior)</w:t>
            </w:r>
          </w:p>
        </w:tc>
        <w:tc>
          <w:tcPr>
            <w:tcW w:w="2393" w:type="dxa"/>
          </w:tcPr>
          <w:p w:rsidR="00121BBC" w:rsidRPr="006314C9" w:rsidRDefault="00121BBC" w:rsidP="00152F5E">
            <w:pPr>
              <w:spacing w:before="60" w:after="60"/>
              <w:contextualSpacing/>
              <w:jc w:val="left"/>
              <w:rPr>
                <w:rFonts w:cs="Times New Roman"/>
                <w:sz w:val="20"/>
                <w:szCs w:val="20"/>
                <w:lang w:val="en-GB"/>
              </w:rPr>
            </w:pPr>
            <w:r w:rsidRPr="006314C9">
              <w:rPr>
                <w:rFonts w:cs="Times New Roman"/>
                <w:sz w:val="20"/>
                <w:szCs w:val="20"/>
                <w:lang w:val="en-GB"/>
              </w:rPr>
              <w:t>Not transposed</w:t>
            </w:r>
            <w:r w:rsidR="00B95D6A" w:rsidRPr="006314C9">
              <w:rPr>
                <w:rFonts w:cs="Times New Roman"/>
                <w:sz w:val="20"/>
                <w:szCs w:val="20"/>
                <w:lang w:val="en-GB"/>
              </w:rPr>
              <w:t>;</w:t>
            </w:r>
          </w:p>
          <w:p w:rsidR="002C0B46"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9 %</w:t>
            </w:r>
          </w:p>
        </w:tc>
        <w:tc>
          <w:tcPr>
            <w:tcW w:w="2395" w:type="dxa"/>
          </w:tcPr>
          <w:p w:rsidR="00121BBC" w:rsidRPr="006314C9" w:rsidRDefault="00B95D6A" w:rsidP="002C0B46">
            <w:pPr>
              <w:spacing w:before="60" w:after="60"/>
              <w:contextualSpacing/>
              <w:jc w:val="left"/>
              <w:rPr>
                <w:rFonts w:cs="Times New Roman"/>
                <w:sz w:val="20"/>
                <w:szCs w:val="20"/>
                <w:lang w:val="en-GB"/>
              </w:rPr>
            </w:pPr>
            <w:r w:rsidRPr="006314C9">
              <w:rPr>
                <w:rFonts w:eastAsia="Times New Roman" w:cs="Times New Roman"/>
                <w:color w:val="000000"/>
                <w:sz w:val="20"/>
                <w:szCs w:val="20"/>
                <w:lang w:val="en-GB"/>
              </w:rPr>
              <w:t>Not implemented</w:t>
            </w:r>
          </w:p>
        </w:tc>
      </w:tr>
      <w:tr w:rsidR="00815D28" w:rsidRPr="006314C9" w:rsidTr="00121BBC">
        <w:tc>
          <w:tcPr>
            <w:tcW w:w="2393" w:type="dxa"/>
          </w:tcPr>
          <w:p w:rsidR="00815D28" w:rsidRPr="006314C9" w:rsidRDefault="002F0A16" w:rsidP="00B27FEA">
            <w:pPr>
              <w:spacing w:before="60" w:after="60"/>
              <w:contextualSpacing/>
              <w:jc w:val="left"/>
              <w:rPr>
                <w:rFonts w:cs="Times New Roman"/>
                <w:sz w:val="20"/>
                <w:szCs w:val="20"/>
                <w:lang w:val="en-GB"/>
              </w:rPr>
            </w:pPr>
            <w:r w:rsidRPr="006314C9">
              <w:rPr>
                <w:rFonts w:cs="Times New Roman"/>
                <w:sz w:val="20"/>
                <w:szCs w:val="20"/>
                <w:lang w:val="en-GB"/>
              </w:rPr>
              <w:t>2004/42/EC</w:t>
            </w:r>
          </w:p>
          <w:p w:rsidR="00815D28" w:rsidRPr="006314C9" w:rsidRDefault="00B95D6A" w:rsidP="007B0BC7">
            <w:pPr>
              <w:spacing w:before="60" w:after="60"/>
              <w:contextualSpacing/>
              <w:jc w:val="left"/>
              <w:rPr>
                <w:rFonts w:eastAsiaTheme="minorHAnsi" w:cs="Times New Roman"/>
                <w:b/>
                <w:i/>
                <w:sz w:val="20"/>
                <w:szCs w:val="20"/>
                <w:lang w:val="en-GB"/>
              </w:rPr>
            </w:pPr>
            <w:r w:rsidRPr="006314C9">
              <w:rPr>
                <w:rFonts w:cs="Times New Roman"/>
                <w:b/>
                <w:i/>
                <w:sz w:val="20"/>
                <w:szCs w:val="20"/>
                <w:lang w:val="en-GB"/>
              </w:rPr>
              <w:t>VOCs paints</w:t>
            </w:r>
          </w:p>
        </w:tc>
        <w:tc>
          <w:tcPr>
            <w:tcW w:w="2395" w:type="dxa"/>
          </w:tcPr>
          <w:p w:rsidR="00815D28"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MTE</w:t>
            </w:r>
          </w:p>
        </w:tc>
        <w:tc>
          <w:tcPr>
            <w:tcW w:w="2393" w:type="dxa"/>
          </w:tcPr>
          <w:p w:rsidR="00815D28"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Fully transposed;</w:t>
            </w:r>
          </w:p>
        </w:tc>
        <w:tc>
          <w:tcPr>
            <w:tcW w:w="2395" w:type="dxa"/>
          </w:tcPr>
          <w:p w:rsidR="00815D28"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Initial stage</w:t>
            </w:r>
          </w:p>
          <w:p w:rsidR="00815D28" w:rsidRPr="006314C9" w:rsidRDefault="00815D28" w:rsidP="00152F5E">
            <w:pPr>
              <w:spacing w:before="60" w:after="60"/>
              <w:contextualSpacing/>
              <w:jc w:val="left"/>
              <w:rPr>
                <w:rFonts w:cs="Times New Roman"/>
                <w:sz w:val="20"/>
                <w:szCs w:val="20"/>
                <w:lang w:val="en-GB"/>
              </w:rPr>
            </w:pPr>
          </w:p>
        </w:tc>
      </w:tr>
      <w:tr w:rsidR="00121BBC" w:rsidRPr="006314C9" w:rsidTr="00121BBC">
        <w:tc>
          <w:tcPr>
            <w:tcW w:w="2393" w:type="dxa"/>
          </w:tcPr>
          <w:p w:rsidR="00121BBC" w:rsidRPr="006314C9" w:rsidRDefault="00121BBC" w:rsidP="001970C3">
            <w:pPr>
              <w:spacing w:before="60" w:after="60"/>
              <w:contextualSpacing/>
              <w:jc w:val="left"/>
              <w:rPr>
                <w:rFonts w:cs="Times New Roman"/>
                <w:sz w:val="20"/>
                <w:szCs w:val="20"/>
                <w:lang w:val="en-GB"/>
              </w:rPr>
            </w:pPr>
            <w:r w:rsidRPr="006314C9">
              <w:rPr>
                <w:rFonts w:cs="Times New Roman"/>
                <w:sz w:val="20"/>
                <w:szCs w:val="20"/>
                <w:lang w:val="en-GB"/>
              </w:rPr>
              <w:t>EC/66/2010</w:t>
            </w:r>
          </w:p>
          <w:p w:rsidR="00121BBC" w:rsidRPr="006314C9" w:rsidRDefault="00B95D6A" w:rsidP="00B27FEA">
            <w:pPr>
              <w:spacing w:before="60" w:after="60"/>
              <w:contextualSpacing/>
              <w:jc w:val="left"/>
              <w:rPr>
                <w:rFonts w:cs="Times New Roman"/>
                <w:i/>
                <w:sz w:val="20"/>
                <w:szCs w:val="20"/>
                <w:lang w:val="en-GB"/>
              </w:rPr>
            </w:pPr>
            <w:r w:rsidRPr="006314C9">
              <w:rPr>
                <w:rFonts w:cs="Times New Roman"/>
                <w:b/>
                <w:i/>
                <w:sz w:val="20"/>
                <w:szCs w:val="20"/>
                <w:lang w:val="en-GB"/>
              </w:rPr>
              <w:t>Eco-label</w:t>
            </w:r>
          </w:p>
        </w:tc>
        <w:tc>
          <w:tcPr>
            <w:tcW w:w="2395" w:type="dxa"/>
          </w:tcPr>
          <w:p w:rsidR="00121BBC" w:rsidRPr="006314C9" w:rsidRDefault="00121BBC" w:rsidP="00152F5E">
            <w:pPr>
              <w:spacing w:before="60" w:after="60"/>
              <w:contextualSpacing/>
              <w:jc w:val="left"/>
              <w:rPr>
                <w:rFonts w:cs="Times New Roman"/>
                <w:sz w:val="20"/>
                <w:szCs w:val="20"/>
                <w:lang w:val="en-GB"/>
              </w:rPr>
            </w:pPr>
            <w:r w:rsidRPr="006314C9">
              <w:rPr>
                <w:rFonts w:cs="Times New Roman"/>
                <w:sz w:val="20"/>
                <w:szCs w:val="20"/>
                <w:lang w:val="en-GB"/>
              </w:rPr>
              <w:t>MTE</w:t>
            </w:r>
          </w:p>
        </w:tc>
        <w:tc>
          <w:tcPr>
            <w:tcW w:w="2393" w:type="dxa"/>
          </w:tcPr>
          <w:p w:rsidR="00121BBC" w:rsidRPr="006314C9" w:rsidRDefault="00B95D6A" w:rsidP="001970C3">
            <w:pPr>
              <w:spacing w:before="60" w:after="60"/>
              <w:contextualSpacing/>
              <w:jc w:val="left"/>
              <w:rPr>
                <w:rFonts w:cs="Times New Roman"/>
                <w:sz w:val="20"/>
                <w:szCs w:val="20"/>
                <w:lang w:val="en-GB"/>
              </w:rPr>
            </w:pPr>
            <w:r w:rsidRPr="006314C9">
              <w:rPr>
                <w:rFonts w:cs="Times New Roman"/>
                <w:sz w:val="20"/>
                <w:szCs w:val="20"/>
                <w:lang w:val="en-GB"/>
              </w:rPr>
              <w:t>Partially;</w:t>
            </w:r>
          </w:p>
          <w:p w:rsidR="00121BBC"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41</w:t>
            </w:r>
            <w:r w:rsidR="00121BBC" w:rsidRPr="006314C9">
              <w:rPr>
                <w:rFonts w:cs="Times New Roman"/>
                <w:sz w:val="20"/>
                <w:szCs w:val="20"/>
                <w:lang w:val="en-GB"/>
              </w:rPr>
              <w:t>%</w:t>
            </w:r>
          </w:p>
        </w:tc>
        <w:tc>
          <w:tcPr>
            <w:tcW w:w="2395" w:type="dxa"/>
          </w:tcPr>
          <w:p w:rsidR="00121BBC" w:rsidRPr="006314C9" w:rsidRDefault="00B95D6A" w:rsidP="00152F5E">
            <w:pPr>
              <w:spacing w:before="60" w:after="60"/>
              <w:contextualSpacing/>
              <w:jc w:val="left"/>
              <w:rPr>
                <w:rFonts w:eastAsia="Times New Roman" w:cs="Times New Roman"/>
                <w:color w:val="000000"/>
                <w:sz w:val="20"/>
                <w:szCs w:val="20"/>
                <w:lang w:val="en-GB"/>
              </w:rPr>
            </w:pPr>
            <w:r w:rsidRPr="006314C9">
              <w:rPr>
                <w:rFonts w:cs="Times New Roman"/>
                <w:sz w:val="20"/>
                <w:szCs w:val="20"/>
                <w:lang w:val="en-GB"/>
              </w:rPr>
              <w:t>Initial stage</w:t>
            </w:r>
          </w:p>
        </w:tc>
      </w:tr>
      <w:tr w:rsidR="00815D28" w:rsidRPr="006314C9" w:rsidTr="00121BBC">
        <w:tc>
          <w:tcPr>
            <w:tcW w:w="2393" w:type="dxa"/>
          </w:tcPr>
          <w:p w:rsidR="00815D28" w:rsidRPr="006314C9" w:rsidRDefault="002F0A16" w:rsidP="00B27FEA">
            <w:pPr>
              <w:spacing w:before="60" w:after="60"/>
              <w:contextualSpacing/>
              <w:jc w:val="left"/>
              <w:rPr>
                <w:rFonts w:cs="Times New Roman"/>
                <w:sz w:val="20"/>
                <w:szCs w:val="20"/>
                <w:lang w:val="en-GB"/>
              </w:rPr>
            </w:pPr>
            <w:r w:rsidRPr="006314C9">
              <w:rPr>
                <w:rFonts w:cs="Times New Roman"/>
                <w:sz w:val="20"/>
                <w:szCs w:val="20"/>
                <w:lang w:val="en-GB"/>
              </w:rPr>
              <w:t>EC/1221/2009</w:t>
            </w:r>
          </w:p>
          <w:p w:rsidR="00815D28" w:rsidRPr="006314C9" w:rsidRDefault="00B95D6A" w:rsidP="007B0BC7">
            <w:pPr>
              <w:spacing w:before="60" w:after="60"/>
              <w:contextualSpacing/>
              <w:jc w:val="left"/>
              <w:rPr>
                <w:rFonts w:cs="Times New Roman"/>
                <w:b/>
                <w:i/>
                <w:sz w:val="20"/>
                <w:szCs w:val="20"/>
                <w:lang w:val="en-GB"/>
              </w:rPr>
            </w:pPr>
            <w:r w:rsidRPr="006314C9">
              <w:rPr>
                <w:rFonts w:cs="Times New Roman"/>
                <w:b/>
                <w:i/>
                <w:sz w:val="20"/>
                <w:szCs w:val="20"/>
                <w:lang w:val="en-GB"/>
              </w:rPr>
              <w:t>EMAS</w:t>
            </w:r>
          </w:p>
          <w:p w:rsidR="00815D28" w:rsidRPr="006314C9" w:rsidRDefault="002F0A16" w:rsidP="00152F5E">
            <w:pPr>
              <w:spacing w:before="60" w:after="60"/>
              <w:contextualSpacing/>
              <w:jc w:val="left"/>
              <w:rPr>
                <w:rFonts w:cs="Times New Roman"/>
                <w:sz w:val="20"/>
                <w:szCs w:val="20"/>
                <w:lang w:val="en-GB"/>
              </w:rPr>
            </w:pPr>
            <w:r w:rsidRPr="006314C9">
              <w:rPr>
                <w:rFonts w:cs="Times New Roman"/>
                <w:sz w:val="20"/>
                <w:szCs w:val="20"/>
                <w:lang w:val="en-GB"/>
              </w:rPr>
              <w:t>2011/832/EU</w:t>
            </w:r>
          </w:p>
          <w:p w:rsidR="00815D28" w:rsidRPr="006314C9" w:rsidRDefault="00B95D6A" w:rsidP="00152F5E">
            <w:pPr>
              <w:spacing w:before="60" w:after="60"/>
              <w:contextualSpacing/>
              <w:jc w:val="left"/>
              <w:rPr>
                <w:rFonts w:cs="Times New Roman"/>
                <w:b/>
                <w:i/>
                <w:sz w:val="20"/>
                <w:szCs w:val="20"/>
                <w:lang w:val="en-GB"/>
              </w:rPr>
            </w:pPr>
            <w:r w:rsidRPr="006314C9">
              <w:rPr>
                <w:rFonts w:cs="Times New Roman"/>
                <w:b/>
                <w:i/>
                <w:sz w:val="20"/>
                <w:szCs w:val="20"/>
                <w:lang w:val="en-GB"/>
              </w:rPr>
              <w:t>EMAS Global</w:t>
            </w:r>
          </w:p>
        </w:tc>
        <w:tc>
          <w:tcPr>
            <w:tcW w:w="2395" w:type="dxa"/>
          </w:tcPr>
          <w:p w:rsidR="00815D28" w:rsidRPr="006314C9" w:rsidRDefault="002F0A16" w:rsidP="00152F5E">
            <w:pPr>
              <w:spacing w:before="60" w:after="60"/>
              <w:contextualSpacing/>
              <w:jc w:val="left"/>
              <w:rPr>
                <w:rFonts w:cs="Times New Roman"/>
                <w:sz w:val="20"/>
                <w:szCs w:val="20"/>
                <w:lang w:val="en-GB"/>
              </w:rPr>
            </w:pPr>
            <w:r w:rsidRPr="006314C9">
              <w:rPr>
                <w:rFonts w:cs="Times New Roman"/>
                <w:sz w:val="20"/>
                <w:szCs w:val="20"/>
                <w:lang w:val="en-GB"/>
              </w:rPr>
              <w:t>MTE</w:t>
            </w:r>
          </w:p>
        </w:tc>
        <w:tc>
          <w:tcPr>
            <w:tcW w:w="2393" w:type="dxa"/>
          </w:tcPr>
          <w:p w:rsidR="00815D28"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Partially;</w:t>
            </w:r>
          </w:p>
          <w:p w:rsidR="00815D28"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26</w:t>
            </w:r>
            <w:r w:rsidR="002F0A16" w:rsidRPr="006314C9">
              <w:rPr>
                <w:rFonts w:cs="Times New Roman"/>
                <w:sz w:val="20"/>
                <w:szCs w:val="20"/>
                <w:lang w:val="en-GB"/>
              </w:rPr>
              <w:t>%</w:t>
            </w:r>
          </w:p>
        </w:tc>
        <w:tc>
          <w:tcPr>
            <w:tcW w:w="2395" w:type="dxa"/>
          </w:tcPr>
          <w:p w:rsidR="00815D28" w:rsidRPr="006314C9" w:rsidRDefault="00B95D6A" w:rsidP="002C0B46">
            <w:pPr>
              <w:spacing w:before="60" w:after="60"/>
              <w:contextualSpacing/>
              <w:jc w:val="left"/>
              <w:rPr>
                <w:rFonts w:cs="Times New Roman"/>
                <w:sz w:val="20"/>
                <w:szCs w:val="20"/>
                <w:lang w:val="en-GB"/>
              </w:rPr>
            </w:pPr>
            <w:r w:rsidRPr="006314C9">
              <w:rPr>
                <w:rFonts w:eastAsia="Times New Roman" w:cs="Times New Roman"/>
                <w:color w:val="000000"/>
                <w:sz w:val="20"/>
                <w:szCs w:val="20"/>
                <w:lang w:val="en-GB"/>
              </w:rPr>
              <w:t>Not implemented</w:t>
            </w:r>
          </w:p>
        </w:tc>
      </w:tr>
      <w:tr w:rsidR="00815D28" w:rsidRPr="006314C9" w:rsidTr="00121BBC">
        <w:tc>
          <w:tcPr>
            <w:tcW w:w="2393" w:type="dxa"/>
          </w:tcPr>
          <w:p w:rsidR="00815D28" w:rsidRPr="006314C9" w:rsidRDefault="00B95D6A" w:rsidP="00B27FEA">
            <w:pPr>
              <w:spacing w:before="60" w:after="60"/>
              <w:contextualSpacing/>
              <w:jc w:val="left"/>
              <w:rPr>
                <w:rFonts w:cs="Times New Roman"/>
                <w:sz w:val="20"/>
                <w:szCs w:val="20"/>
                <w:lang w:val="en-GB"/>
              </w:rPr>
            </w:pPr>
            <w:r w:rsidRPr="006314C9">
              <w:rPr>
                <w:rFonts w:cs="Times New Roman"/>
                <w:sz w:val="20"/>
                <w:szCs w:val="20"/>
                <w:lang w:val="en-GB"/>
              </w:rPr>
              <w:t>Directive (EU) 2015/2193</w:t>
            </w:r>
          </w:p>
          <w:p w:rsidR="00815D28" w:rsidRPr="006314C9" w:rsidRDefault="00B95D6A" w:rsidP="007B0BC7">
            <w:pPr>
              <w:spacing w:before="60" w:after="60"/>
              <w:contextualSpacing/>
              <w:jc w:val="left"/>
              <w:rPr>
                <w:rFonts w:cs="Times New Roman"/>
                <w:b/>
                <w:i/>
                <w:sz w:val="20"/>
                <w:szCs w:val="20"/>
                <w:lang w:val="en-GB"/>
              </w:rPr>
            </w:pPr>
            <w:r w:rsidRPr="006314C9">
              <w:rPr>
                <w:rFonts w:cs="Times New Roman"/>
                <w:b/>
                <w:i/>
                <w:sz w:val="20"/>
                <w:szCs w:val="20"/>
                <w:lang w:val="en-GB"/>
              </w:rPr>
              <w:t>Medium Combustion Plants</w:t>
            </w:r>
          </w:p>
        </w:tc>
        <w:tc>
          <w:tcPr>
            <w:tcW w:w="2395" w:type="dxa"/>
          </w:tcPr>
          <w:p w:rsidR="00815D28" w:rsidRPr="006314C9" w:rsidRDefault="002F0A16" w:rsidP="00152F5E">
            <w:pPr>
              <w:spacing w:before="60" w:after="60"/>
              <w:contextualSpacing/>
              <w:jc w:val="left"/>
              <w:rPr>
                <w:rFonts w:cs="Times New Roman"/>
                <w:sz w:val="20"/>
                <w:szCs w:val="20"/>
                <w:lang w:val="en-GB"/>
              </w:rPr>
            </w:pPr>
            <w:r w:rsidRPr="006314C9">
              <w:rPr>
                <w:rFonts w:cs="Times New Roman"/>
                <w:sz w:val="20"/>
                <w:szCs w:val="20"/>
                <w:lang w:val="en-GB"/>
              </w:rPr>
              <w:t>MTE</w:t>
            </w:r>
          </w:p>
          <w:p w:rsidR="00815D28"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NEA</w:t>
            </w:r>
          </w:p>
        </w:tc>
        <w:tc>
          <w:tcPr>
            <w:tcW w:w="2393" w:type="dxa"/>
          </w:tcPr>
          <w:p w:rsidR="00815D28"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Partially;</w:t>
            </w:r>
          </w:p>
          <w:p w:rsidR="00815D28"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21</w:t>
            </w:r>
            <w:r w:rsidR="002F0A16" w:rsidRPr="006314C9">
              <w:rPr>
                <w:rFonts w:cs="Times New Roman"/>
                <w:sz w:val="20"/>
                <w:szCs w:val="20"/>
                <w:lang w:val="en-GB"/>
              </w:rPr>
              <w:t>%</w:t>
            </w:r>
          </w:p>
        </w:tc>
        <w:tc>
          <w:tcPr>
            <w:tcW w:w="2395" w:type="dxa"/>
          </w:tcPr>
          <w:p w:rsidR="00815D28" w:rsidRPr="006314C9" w:rsidRDefault="00B95D6A" w:rsidP="00152F5E">
            <w:pPr>
              <w:spacing w:before="60" w:after="60"/>
              <w:contextualSpacing/>
              <w:jc w:val="left"/>
              <w:rPr>
                <w:rFonts w:cs="Times New Roman"/>
                <w:sz w:val="20"/>
                <w:szCs w:val="20"/>
                <w:lang w:val="en-GB"/>
              </w:rPr>
            </w:pPr>
            <w:r w:rsidRPr="006314C9">
              <w:rPr>
                <w:rFonts w:cs="Times New Roman"/>
                <w:sz w:val="20"/>
                <w:szCs w:val="20"/>
                <w:lang w:val="en-GB"/>
              </w:rPr>
              <w:t>Initial stage</w:t>
            </w:r>
          </w:p>
        </w:tc>
      </w:tr>
    </w:tbl>
    <w:p w:rsidR="00815D28" w:rsidRPr="006314C9" w:rsidRDefault="00815D28" w:rsidP="00B27FEA">
      <w:pPr>
        <w:rPr>
          <w:rFonts w:cs="Times New Roman"/>
          <w:b/>
          <w:lang w:val="en-GB"/>
        </w:rPr>
      </w:pPr>
    </w:p>
    <w:p w:rsidR="00815D28" w:rsidRPr="006314C9" w:rsidRDefault="00422F98" w:rsidP="00B27FEA">
      <w:pPr>
        <w:pStyle w:val="Heading1"/>
        <w:numPr>
          <w:ilvl w:val="0"/>
          <w:numId w:val="0"/>
        </w:numPr>
        <w:ind w:left="720" w:hanging="360"/>
        <w:jc w:val="center"/>
        <w:rPr>
          <w:rFonts w:cs="Times New Roman"/>
          <w:b w:val="0"/>
          <w:szCs w:val="22"/>
          <w:lang w:val="en-GB"/>
        </w:rPr>
      </w:pPr>
      <w:bookmarkStart w:id="20" w:name="_Toc24031514"/>
      <w:r w:rsidRPr="006314C9">
        <w:rPr>
          <w:rFonts w:cs="Times New Roman"/>
          <w:szCs w:val="22"/>
          <w:lang w:val="en-GB"/>
        </w:rPr>
        <w:lastRenderedPageBreak/>
        <w:t xml:space="preserve">Sub Chapter: </w:t>
      </w:r>
      <w:r w:rsidR="00815D28" w:rsidRPr="006314C9">
        <w:rPr>
          <w:rFonts w:cs="Times New Roman"/>
          <w:szCs w:val="22"/>
          <w:lang w:val="en-GB"/>
        </w:rPr>
        <w:t>Chemicals</w:t>
      </w:r>
      <w:bookmarkEnd w:id="20"/>
    </w:p>
    <w:p w:rsidR="00815D28" w:rsidRPr="006314C9" w:rsidRDefault="00815D28" w:rsidP="007B0BC7">
      <w:pPr>
        <w:rPr>
          <w:rFonts w:cs="Times New Roman"/>
          <w:lang w:val="en-GB"/>
        </w:rPr>
      </w:pPr>
      <w:r w:rsidRPr="006314C9">
        <w:rPr>
          <w:rFonts w:cs="Times New Roman"/>
          <w:b/>
          <w:lang w:val="en-GB"/>
        </w:rPr>
        <w:t>Background information</w:t>
      </w:r>
    </w:p>
    <w:p w:rsidR="00815D28" w:rsidRPr="006314C9" w:rsidRDefault="00815D28" w:rsidP="00152F5E">
      <w:pPr>
        <w:rPr>
          <w:rFonts w:cs="Times New Roman"/>
          <w:lang w:val="en-GB"/>
        </w:rPr>
      </w:pPr>
      <w:r w:rsidRPr="006314C9">
        <w:rPr>
          <w:rFonts w:cs="Times New Roman"/>
          <w:lang w:val="en-GB"/>
        </w:rPr>
        <w:t xml:space="preserve">The EU chemical legislation includes 7 regulation/directives. </w:t>
      </w:r>
      <w:proofErr w:type="spellStart"/>
      <w:r w:rsidRPr="006314C9">
        <w:rPr>
          <w:rFonts w:cs="Times New Roman"/>
          <w:lang w:val="en-GB"/>
        </w:rPr>
        <w:t>Albania</w:t>
      </w:r>
      <w:r w:rsidR="002955BC" w:rsidRPr="006314C9">
        <w:rPr>
          <w:rFonts w:cs="Times New Roman"/>
          <w:lang w:val="en-GB"/>
        </w:rPr>
        <w:t>nlegislation</w:t>
      </w:r>
      <w:proofErr w:type="spellEnd"/>
      <w:r w:rsidR="002955BC" w:rsidRPr="006314C9">
        <w:rPr>
          <w:rFonts w:cs="Times New Roman"/>
          <w:lang w:val="en-GB"/>
        </w:rPr>
        <w:t xml:space="preserve"> </w:t>
      </w:r>
      <w:r w:rsidRPr="006314C9">
        <w:rPr>
          <w:rFonts w:cs="Times New Roman"/>
          <w:lang w:val="en-GB"/>
        </w:rPr>
        <w:t xml:space="preserve">is partially aligned with </w:t>
      </w:r>
      <w:proofErr w:type="gramStart"/>
      <w:r w:rsidR="002955BC" w:rsidRPr="006314C9">
        <w:rPr>
          <w:rFonts w:cs="Times New Roman"/>
          <w:lang w:val="en-GB"/>
        </w:rPr>
        <w:t>this sub-chapter requirements</w:t>
      </w:r>
      <w:proofErr w:type="gramEnd"/>
      <w:r w:rsidR="002955BC" w:rsidRPr="006314C9">
        <w:rPr>
          <w:rFonts w:cs="Times New Roman"/>
          <w:lang w:val="en-GB"/>
        </w:rPr>
        <w:t xml:space="preserve">. </w:t>
      </w:r>
      <w:r w:rsidRPr="006314C9">
        <w:rPr>
          <w:rFonts w:cs="Times New Roman"/>
          <w:lang w:val="en-GB"/>
        </w:rPr>
        <w:t>The framework law on chemicals management was adopted in March 2016, but several pieces of secondary legislation are pending.</w:t>
      </w:r>
    </w:p>
    <w:p w:rsidR="00815D28" w:rsidRPr="006314C9" w:rsidRDefault="00815D28" w:rsidP="00152F5E">
      <w:pPr>
        <w:spacing w:after="0"/>
        <w:rPr>
          <w:rFonts w:cs="Times New Roman"/>
          <w:lang w:val="en-GB"/>
        </w:rPr>
      </w:pPr>
      <w:r w:rsidRPr="006314C9">
        <w:rPr>
          <w:rFonts w:cs="Times New Roman"/>
          <w:i/>
          <w:lang w:val="en-GB"/>
        </w:rPr>
        <w:t>Regulation (EC) No 1907/2006 - (REACH)-</w:t>
      </w:r>
      <w:r w:rsidRPr="006314C9">
        <w:rPr>
          <w:rFonts w:cs="Times New Roman"/>
          <w:lang w:val="en-GB"/>
        </w:rPr>
        <w:t xml:space="preserve"> The purpose of this Regulation is to ensure a high level of protection of human health and the environment, including the promotion of alternative methods for assessment of hazards of substances, as well as the free circulation of substances on the internal market while enhancing competitiveness and innovation.</w:t>
      </w:r>
    </w:p>
    <w:p w:rsidR="00815D28" w:rsidRPr="006314C9" w:rsidRDefault="00815D28" w:rsidP="00152F5E">
      <w:pPr>
        <w:rPr>
          <w:rFonts w:cs="Times New Roman"/>
          <w:lang w:val="en-GB"/>
        </w:rPr>
      </w:pPr>
      <w:r w:rsidRPr="006314C9">
        <w:rPr>
          <w:rFonts w:cs="Times New Roman"/>
          <w:lang w:val="en-GB"/>
        </w:rPr>
        <w:t>This Regulation is based on the principle that it is for manufacturers, importers and downstream users to ensure that they manufacture, place on the market or use such substances that do not adversely affect human health or the environment. Its provisions are underpinned by the precautionary principle.</w:t>
      </w:r>
    </w:p>
    <w:p w:rsidR="00815D28" w:rsidRPr="006314C9" w:rsidRDefault="00815D28" w:rsidP="00152F5E">
      <w:pPr>
        <w:rPr>
          <w:rFonts w:cs="Times New Roman"/>
          <w:lang w:val="en-GB"/>
        </w:rPr>
      </w:pPr>
      <w:r w:rsidRPr="006314C9">
        <w:rPr>
          <w:rFonts w:cs="Times New Roman"/>
          <w:i/>
          <w:lang w:val="en-GB"/>
        </w:rPr>
        <w:t>Regulation (EC) No 1272/2008 classification, labelling and packaging of substances and mixtures, amending and repealing Directives 67/548/EEC and 1999/45/EC, and amending Regulation (EC) No 1907/2006</w:t>
      </w:r>
      <w:r w:rsidRPr="006314C9">
        <w:rPr>
          <w:rFonts w:cs="Times New Roman"/>
          <w:lang w:val="en-GB"/>
        </w:rPr>
        <w:t xml:space="preserve"> – </w:t>
      </w:r>
      <w:r w:rsidR="00275819" w:rsidRPr="006314C9">
        <w:rPr>
          <w:rFonts w:cs="Times New Roman"/>
          <w:i/>
          <w:lang w:val="en-GB"/>
        </w:rPr>
        <w:t>(</w:t>
      </w:r>
      <w:r w:rsidR="002F0A16" w:rsidRPr="006314C9">
        <w:rPr>
          <w:rFonts w:cs="Times New Roman"/>
          <w:bCs/>
          <w:i/>
          <w:lang w:val="en-GB"/>
        </w:rPr>
        <w:t>CLP</w:t>
      </w:r>
      <w:r w:rsidR="00275819" w:rsidRPr="006314C9">
        <w:rPr>
          <w:rFonts w:cs="Times New Roman"/>
          <w:bCs/>
          <w:i/>
          <w:lang w:val="en-GB"/>
        </w:rPr>
        <w:t>)</w:t>
      </w:r>
      <w:r w:rsidR="002F0A16" w:rsidRPr="006314C9">
        <w:rPr>
          <w:rFonts w:cs="Times New Roman"/>
          <w:bCs/>
          <w:lang w:val="en-GB"/>
        </w:rPr>
        <w:t>-</w:t>
      </w:r>
      <w:r w:rsidRPr="006314C9">
        <w:rPr>
          <w:rFonts w:cs="Times New Roman"/>
          <w:lang w:val="en-GB"/>
        </w:rPr>
        <w:t>ensure</w:t>
      </w:r>
      <w:r w:rsidR="002955BC" w:rsidRPr="006314C9">
        <w:rPr>
          <w:rFonts w:cs="Times New Roman"/>
          <w:lang w:val="en-GB"/>
        </w:rPr>
        <w:t>s</w:t>
      </w:r>
      <w:r w:rsidRPr="006314C9">
        <w:rPr>
          <w:rFonts w:cs="Times New Roman"/>
          <w:lang w:val="en-GB"/>
        </w:rPr>
        <w:t xml:space="preserve"> a high level of protection of human health and the environment as well as the free movement of substances, mixtures and articles</w:t>
      </w:r>
      <w:r w:rsidR="002955BC" w:rsidRPr="006314C9">
        <w:rPr>
          <w:rFonts w:cs="Times New Roman"/>
          <w:lang w:val="en-GB"/>
        </w:rPr>
        <w:t>.</w:t>
      </w:r>
    </w:p>
    <w:p w:rsidR="00815D28" w:rsidRPr="006314C9" w:rsidRDefault="00815D28" w:rsidP="00152F5E">
      <w:pPr>
        <w:pStyle w:val="CM4"/>
        <w:spacing w:before="60" w:after="60"/>
        <w:rPr>
          <w:rFonts w:ascii="Times New Roman" w:eastAsiaTheme="minorHAnsi" w:hAnsi="Times New Roman"/>
          <w:szCs w:val="22"/>
          <w:lang w:val="en-GB"/>
        </w:rPr>
      </w:pPr>
      <w:r w:rsidRPr="006314C9">
        <w:rPr>
          <w:rFonts w:ascii="Times New Roman" w:hAnsi="Times New Roman"/>
          <w:i/>
          <w:szCs w:val="22"/>
          <w:lang w:val="en-GB"/>
        </w:rPr>
        <w:t>Regulation (EU) No 649/2012 concerning the export and import of hazardous chemicals</w:t>
      </w:r>
      <w:r w:rsidRPr="006314C9">
        <w:rPr>
          <w:rFonts w:ascii="Times New Roman" w:hAnsi="Times New Roman"/>
          <w:i/>
          <w:color w:val="444444"/>
          <w:szCs w:val="22"/>
          <w:shd w:val="clear" w:color="auto" w:fill="FFFFFF"/>
          <w:lang w:val="en-GB"/>
        </w:rPr>
        <w:t> </w:t>
      </w:r>
      <w:r w:rsidRPr="006314C9">
        <w:rPr>
          <w:rFonts w:ascii="Times New Roman" w:hAnsi="Times New Roman"/>
          <w:color w:val="444444"/>
          <w:szCs w:val="22"/>
          <w:shd w:val="clear" w:color="auto" w:fill="FFFFFF"/>
          <w:lang w:val="en-GB"/>
        </w:rPr>
        <w:t>–</w:t>
      </w:r>
      <w:r w:rsidR="00275819" w:rsidRPr="006314C9">
        <w:rPr>
          <w:rFonts w:ascii="Times New Roman" w:hAnsi="Times New Roman"/>
          <w:i/>
          <w:color w:val="444444"/>
          <w:szCs w:val="22"/>
          <w:shd w:val="clear" w:color="auto" w:fill="FFFFFF"/>
          <w:lang w:val="en-GB"/>
        </w:rPr>
        <w:t>(</w:t>
      </w:r>
      <w:r w:rsidR="002F0A16" w:rsidRPr="006314C9">
        <w:rPr>
          <w:rFonts w:ascii="Times New Roman" w:eastAsiaTheme="minorEastAsia" w:hAnsi="Times New Roman"/>
          <w:bCs/>
          <w:i/>
          <w:szCs w:val="22"/>
          <w:lang w:val="en-GB"/>
        </w:rPr>
        <w:t>PIC</w:t>
      </w:r>
      <w:r w:rsidR="00275819" w:rsidRPr="006314C9">
        <w:rPr>
          <w:rFonts w:ascii="Times New Roman" w:eastAsiaTheme="minorEastAsia" w:hAnsi="Times New Roman"/>
          <w:bCs/>
          <w:i/>
          <w:szCs w:val="22"/>
          <w:lang w:val="en-GB"/>
        </w:rPr>
        <w:t>)</w:t>
      </w:r>
      <w:r w:rsidR="002F0A16" w:rsidRPr="006314C9">
        <w:rPr>
          <w:rFonts w:ascii="Times New Roman" w:hAnsi="Times New Roman"/>
          <w:bCs/>
          <w:i/>
          <w:szCs w:val="22"/>
          <w:lang w:val="en-GB"/>
        </w:rPr>
        <w:t>-</w:t>
      </w:r>
      <w:r w:rsidRPr="006314C9">
        <w:rPr>
          <w:rFonts w:ascii="Times New Roman" w:eastAsiaTheme="minorHAnsi" w:hAnsi="Times New Roman"/>
          <w:szCs w:val="22"/>
          <w:lang w:val="en-GB"/>
        </w:rPr>
        <w:t>implement</w:t>
      </w:r>
      <w:r w:rsidR="002955BC" w:rsidRPr="006314C9">
        <w:rPr>
          <w:rFonts w:ascii="Times New Roman" w:eastAsiaTheme="minorHAnsi" w:hAnsi="Times New Roman"/>
          <w:szCs w:val="22"/>
          <w:lang w:val="en-GB"/>
        </w:rPr>
        <w:t>s</w:t>
      </w:r>
      <w:r w:rsidRPr="006314C9">
        <w:rPr>
          <w:rFonts w:ascii="Times New Roman" w:eastAsiaTheme="minorHAnsi" w:hAnsi="Times New Roman"/>
          <w:szCs w:val="22"/>
          <w:lang w:val="en-GB"/>
        </w:rPr>
        <w:t xml:space="preserve"> the </w:t>
      </w:r>
      <w:r w:rsidRPr="006314C9">
        <w:rPr>
          <w:rFonts w:ascii="Times New Roman" w:eastAsiaTheme="minorHAnsi" w:hAnsi="Times New Roman"/>
          <w:i/>
          <w:szCs w:val="22"/>
          <w:lang w:val="en-GB"/>
        </w:rPr>
        <w:t>Rotterdam Convention</w:t>
      </w:r>
      <w:r w:rsidRPr="006314C9">
        <w:rPr>
          <w:rFonts w:ascii="Times New Roman" w:eastAsiaTheme="minorHAnsi" w:hAnsi="Times New Roman"/>
          <w:szCs w:val="22"/>
          <w:lang w:val="en-GB"/>
        </w:rPr>
        <w:t xml:space="preserve"> on the Prior Informed Consent Procedure for Certain Hazardous Chemicals and Pesticides in International Trade (the ‘Convention’); promote shared responsibility and cooperative efforts in the international movement of hazardous chemicals in order to protect human health and the environment from potential harm; contribute to the environmentally sound use of hazardous chemicals</w:t>
      </w:r>
      <w:r w:rsidR="002955BC" w:rsidRPr="006314C9">
        <w:rPr>
          <w:rFonts w:ascii="Times New Roman" w:eastAsiaTheme="minorHAnsi" w:hAnsi="Times New Roman"/>
          <w:szCs w:val="22"/>
          <w:lang w:val="en-GB"/>
        </w:rPr>
        <w:t>.</w:t>
      </w:r>
    </w:p>
    <w:p w:rsidR="00815D28" w:rsidRPr="006314C9" w:rsidRDefault="00815D28" w:rsidP="00591635">
      <w:pPr>
        <w:rPr>
          <w:lang w:val="en-GB"/>
        </w:rPr>
      </w:pPr>
      <w:r w:rsidRPr="006314C9">
        <w:rPr>
          <w:i/>
          <w:lang w:val="en-GB"/>
        </w:rPr>
        <w:t>Council Directive 87/217/EEC of 19 March 1987 on the prevention and reduction of environmental pollution by asbestos</w:t>
      </w:r>
      <w:r w:rsidR="002955BC" w:rsidRPr="006314C9">
        <w:rPr>
          <w:lang w:val="en-GB"/>
        </w:rPr>
        <w:t xml:space="preserve">is aiming at </w:t>
      </w:r>
      <w:r w:rsidRPr="006314C9">
        <w:rPr>
          <w:lang w:val="en-GB"/>
        </w:rPr>
        <w:t xml:space="preserve">preventing </w:t>
      </w:r>
      <w:proofErr w:type="spellStart"/>
      <w:r w:rsidR="002955BC" w:rsidRPr="006314C9">
        <w:rPr>
          <w:lang w:val="en-GB"/>
        </w:rPr>
        <w:t>and</w:t>
      </w:r>
      <w:r w:rsidRPr="006314C9">
        <w:rPr>
          <w:lang w:val="en-GB"/>
        </w:rPr>
        <w:t>reducing</w:t>
      </w:r>
      <w:proofErr w:type="spellEnd"/>
      <w:r w:rsidRPr="006314C9">
        <w:rPr>
          <w:lang w:val="en-GB"/>
        </w:rPr>
        <w:t xml:space="preserve"> pollution by asbestos in the interests of the protection of human health </w:t>
      </w:r>
      <w:proofErr w:type="spellStart"/>
      <w:r w:rsidR="002955BC" w:rsidRPr="006314C9">
        <w:rPr>
          <w:lang w:val="en-GB"/>
        </w:rPr>
        <w:t>and</w:t>
      </w:r>
      <w:r w:rsidRPr="006314C9">
        <w:rPr>
          <w:lang w:val="en-GB"/>
        </w:rPr>
        <w:t>the</w:t>
      </w:r>
      <w:proofErr w:type="spellEnd"/>
      <w:r w:rsidRPr="006314C9">
        <w:rPr>
          <w:lang w:val="en-GB"/>
        </w:rPr>
        <w:t xml:space="preserve"> </w:t>
      </w:r>
      <w:proofErr w:type="spellStart"/>
      <w:r w:rsidRPr="006314C9">
        <w:rPr>
          <w:lang w:val="en-GB"/>
        </w:rPr>
        <w:t>environment</w:t>
      </w:r>
      <w:r w:rsidR="002955BC" w:rsidRPr="006314C9">
        <w:rPr>
          <w:lang w:val="en-GB"/>
        </w:rPr>
        <w:t>,limiting</w:t>
      </w:r>
      <w:proofErr w:type="spellEnd"/>
      <w:r w:rsidR="002955BC" w:rsidRPr="006314C9">
        <w:rPr>
          <w:lang w:val="en-GB"/>
        </w:rPr>
        <w:t xml:space="preserve"> </w:t>
      </w:r>
      <w:r w:rsidRPr="006314C9">
        <w:rPr>
          <w:lang w:val="en-GB"/>
        </w:rPr>
        <w:t>asbestos emissions into the air, asbestos discharges into the aquatic environment</w:t>
      </w:r>
      <w:r w:rsidR="00591635" w:rsidRPr="006314C9">
        <w:rPr>
          <w:lang w:val="en-GB"/>
        </w:rPr>
        <w:t xml:space="preserve">, improving </w:t>
      </w:r>
      <w:r w:rsidRPr="006314C9">
        <w:rPr>
          <w:lang w:val="en-GB"/>
        </w:rPr>
        <w:t xml:space="preserve">asbestos waste </w:t>
      </w:r>
      <w:r w:rsidR="00591635" w:rsidRPr="006314C9">
        <w:rPr>
          <w:lang w:val="en-GB"/>
        </w:rPr>
        <w:t xml:space="preserve">management. </w:t>
      </w:r>
    </w:p>
    <w:p w:rsidR="00815D28" w:rsidRPr="006314C9" w:rsidRDefault="00815D28" w:rsidP="00591635">
      <w:pPr>
        <w:rPr>
          <w:lang w:val="en-GB"/>
        </w:rPr>
      </w:pPr>
      <w:r w:rsidRPr="006314C9">
        <w:rPr>
          <w:lang w:val="en-GB"/>
        </w:rPr>
        <w:t>Regulation (EU) 2017/852 – mercury- establishes measures and conditions concerning the use and storage of and trade in mercury, mercury compounds and mixtures of mercury, and the manufacture and use of and trade in mercury-added products, and the management of mercury waste, in order to ensure a high level of protection of human health and the environment from anthropogenic emissions and releases of mercury and mercury compounds</w:t>
      </w:r>
      <w:r w:rsidR="00591635" w:rsidRPr="006314C9">
        <w:rPr>
          <w:lang w:val="en-GB"/>
        </w:rPr>
        <w:t>.</w:t>
      </w:r>
    </w:p>
    <w:p w:rsidR="00815D28" w:rsidRPr="006314C9" w:rsidRDefault="00815D28" w:rsidP="00591635">
      <w:pPr>
        <w:rPr>
          <w:lang w:val="en-GB"/>
        </w:rPr>
      </w:pPr>
      <w:r w:rsidRPr="006314C9">
        <w:rPr>
          <w:lang w:val="en-GB"/>
        </w:rPr>
        <w:t>Regulation (EU) No 528/2012 improve</w:t>
      </w:r>
      <w:r w:rsidR="00591635" w:rsidRPr="006314C9">
        <w:rPr>
          <w:lang w:val="en-GB"/>
        </w:rPr>
        <w:t>s</w:t>
      </w:r>
      <w:r w:rsidRPr="006314C9">
        <w:rPr>
          <w:lang w:val="en-GB"/>
        </w:rPr>
        <w:t xml:space="preserve"> the free movement of </w:t>
      </w:r>
      <w:proofErr w:type="spellStart"/>
      <w:r w:rsidRPr="006314C9">
        <w:rPr>
          <w:lang w:val="en-GB"/>
        </w:rPr>
        <w:t>biocidal</w:t>
      </w:r>
      <w:proofErr w:type="spellEnd"/>
      <w:r w:rsidRPr="006314C9">
        <w:rPr>
          <w:lang w:val="en-GB"/>
        </w:rPr>
        <w:t xml:space="preserve"> products within the Union while ensuring a high level of protection of both human and animal health and the environment. Particular attention should be paid to the protection of vulnerable groups, such as pregnant women and children. </w:t>
      </w:r>
    </w:p>
    <w:p w:rsidR="000F2D66" w:rsidRPr="006314C9" w:rsidRDefault="000F2D66" w:rsidP="00591635">
      <w:pPr>
        <w:rPr>
          <w:lang w:val="en-GB"/>
        </w:rPr>
      </w:pPr>
      <w:r w:rsidRPr="006314C9">
        <w:rPr>
          <w:lang w:val="en-GB"/>
        </w:rPr>
        <w:t>Directive 2010/63/EU of the European Parliament and of the Council of 22 September 2010 establishes measures for the protection of animals used for scientific or educational purposes.</w:t>
      </w:r>
    </w:p>
    <w:p w:rsidR="00815D28" w:rsidRPr="006314C9" w:rsidRDefault="00815D28" w:rsidP="00152F5E">
      <w:pPr>
        <w:rPr>
          <w:rFonts w:cs="Times New Roman"/>
          <w:lang w:val="en-GB"/>
        </w:rPr>
      </w:pPr>
      <w:r w:rsidRPr="006314C9">
        <w:rPr>
          <w:rFonts w:cs="Times New Roman"/>
          <w:b/>
          <w:lang w:val="en-GB"/>
        </w:rPr>
        <w:t>Transposition</w:t>
      </w:r>
    </w:p>
    <w:p w:rsidR="00815D28" w:rsidRPr="006314C9" w:rsidRDefault="00815D28" w:rsidP="00591635">
      <w:pPr>
        <w:rPr>
          <w:lang w:val="en-GB"/>
        </w:rPr>
      </w:pPr>
      <w:proofErr w:type="gramStart"/>
      <w:r w:rsidRPr="006314C9">
        <w:rPr>
          <w:lang w:val="en-GB"/>
        </w:rPr>
        <w:t>The level of transposition of the EU regulation</w:t>
      </w:r>
      <w:r w:rsidR="00591635" w:rsidRPr="006314C9">
        <w:rPr>
          <w:lang w:val="en-GB"/>
        </w:rPr>
        <w:t>s</w:t>
      </w:r>
      <w:r w:rsidRPr="006314C9">
        <w:rPr>
          <w:lang w:val="en-GB"/>
        </w:rPr>
        <w:t xml:space="preserve"> and </w:t>
      </w:r>
      <w:r w:rsidR="00591635" w:rsidRPr="006314C9">
        <w:rPr>
          <w:lang w:val="en-GB"/>
        </w:rPr>
        <w:t xml:space="preserve">directives </w:t>
      </w:r>
      <w:r w:rsidRPr="006314C9">
        <w:rPr>
          <w:lang w:val="en-GB"/>
        </w:rPr>
        <w:t>under this subchapter various from 10 % to 41 %.</w:t>
      </w:r>
      <w:proofErr w:type="gramEnd"/>
      <w:r w:rsidRPr="006314C9">
        <w:rPr>
          <w:lang w:val="en-GB"/>
        </w:rPr>
        <w:t xml:space="preserve"> Only </w:t>
      </w:r>
      <w:proofErr w:type="spellStart"/>
      <w:r w:rsidR="00591635" w:rsidRPr="006314C9">
        <w:rPr>
          <w:lang w:val="en-GB"/>
        </w:rPr>
        <w:t>PIC</w:t>
      </w:r>
      <w:r w:rsidRPr="006314C9">
        <w:rPr>
          <w:lang w:val="en-GB"/>
        </w:rPr>
        <w:t>Regulation</w:t>
      </w:r>
      <w:proofErr w:type="spellEnd"/>
      <w:r w:rsidRPr="006314C9">
        <w:rPr>
          <w:lang w:val="en-GB"/>
        </w:rPr>
        <w:t xml:space="preserve"> </w:t>
      </w:r>
      <w:proofErr w:type="spellStart"/>
      <w:r w:rsidRPr="006314C9">
        <w:rPr>
          <w:lang w:val="en-GB"/>
        </w:rPr>
        <w:t>is</w:t>
      </w:r>
      <w:r w:rsidR="002F0A16" w:rsidRPr="006314C9">
        <w:rPr>
          <w:lang w:val="en-GB"/>
        </w:rPr>
        <w:t>fully</w:t>
      </w:r>
      <w:proofErr w:type="spellEnd"/>
      <w:r w:rsidR="002F0A16" w:rsidRPr="006314C9">
        <w:rPr>
          <w:lang w:val="en-GB"/>
        </w:rPr>
        <w:t xml:space="preserve"> transposed</w:t>
      </w:r>
      <w:r w:rsidR="00591635" w:rsidRPr="006314C9">
        <w:rPr>
          <w:lang w:val="en-GB"/>
        </w:rPr>
        <w:t xml:space="preserve">. </w:t>
      </w:r>
      <w:proofErr w:type="gramStart"/>
      <w:r w:rsidR="00591635" w:rsidRPr="006314C9">
        <w:rPr>
          <w:lang w:val="en-GB"/>
        </w:rPr>
        <w:t>T</w:t>
      </w:r>
      <w:r w:rsidRPr="006314C9">
        <w:rPr>
          <w:lang w:val="en-GB"/>
        </w:rPr>
        <w:t xml:space="preserve">he main Regulation on Chemicals (EC) No 1907/2006 – </w:t>
      </w:r>
      <w:r w:rsidR="002F0A16" w:rsidRPr="006314C9">
        <w:rPr>
          <w:bCs/>
          <w:i/>
          <w:lang w:val="en-GB"/>
        </w:rPr>
        <w:t>REACH</w:t>
      </w:r>
      <w:r w:rsidR="00930D05" w:rsidRPr="006314C9">
        <w:rPr>
          <w:bCs/>
          <w:lang w:val="en-GB"/>
        </w:rPr>
        <w:t>has</w:t>
      </w:r>
      <w:r w:rsidR="00591635" w:rsidRPr="006314C9">
        <w:rPr>
          <w:bCs/>
          <w:lang w:val="en-GB"/>
        </w:rPr>
        <w:t>20 %</w:t>
      </w:r>
      <w:r w:rsidRPr="006314C9">
        <w:rPr>
          <w:bCs/>
          <w:lang w:val="en-GB"/>
        </w:rPr>
        <w:t xml:space="preserve"> transposition.</w:t>
      </w:r>
      <w:proofErr w:type="gramEnd"/>
    </w:p>
    <w:p w:rsidR="00815D28" w:rsidRPr="006314C9" w:rsidRDefault="00815D28" w:rsidP="00591635">
      <w:pPr>
        <w:rPr>
          <w:lang w:val="en-GB"/>
        </w:rPr>
      </w:pPr>
      <w:r w:rsidRPr="006314C9">
        <w:rPr>
          <w:lang w:val="en-GB"/>
        </w:rPr>
        <w:t>The main national law for this sub-chapter is Law No. 27 of 17.3.2016 “on Management of Chemicals”, 17.3.2016.</w:t>
      </w:r>
    </w:p>
    <w:p w:rsidR="00815D28" w:rsidRPr="006314C9" w:rsidRDefault="00815D28" w:rsidP="00591635">
      <w:pPr>
        <w:rPr>
          <w:lang w:val="en-GB"/>
        </w:rPr>
      </w:pPr>
      <w:r w:rsidRPr="006314C9">
        <w:rPr>
          <w:lang w:val="en-GB"/>
        </w:rPr>
        <w:t xml:space="preserve">On 26.06.2019 the Council of Ministers passed the DCM on the banning of exports of metallic mercury, certain mercury compounds and mixtures and the safe storage of metallic mercury. </w:t>
      </w:r>
    </w:p>
    <w:p w:rsidR="00815D28" w:rsidRPr="006314C9" w:rsidRDefault="00815D28" w:rsidP="00591635">
      <w:pPr>
        <w:rPr>
          <w:lang w:val="en-GB"/>
        </w:rPr>
      </w:pPr>
      <w:r w:rsidRPr="006314C9">
        <w:rPr>
          <w:lang w:val="en-GB"/>
        </w:rPr>
        <w:lastRenderedPageBreak/>
        <w:t xml:space="preserve">Directive 2010/63/EU of the European Parliament and of the Council of 22 September 2010on the protection of animals used for scientific </w:t>
      </w:r>
      <w:proofErr w:type="spellStart"/>
      <w:r w:rsidRPr="006314C9">
        <w:rPr>
          <w:lang w:val="en-GB"/>
        </w:rPr>
        <w:t>purposes</w:t>
      </w:r>
      <w:r w:rsidR="002F0A16" w:rsidRPr="006314C9">
        <w:rPr>
          <w:lang w:val="en-GB"/>
        </w:rPr>
        <w:t>is</w:t>
      </w:r>
      <w:proofErr w:type="spellEnd"/>
      <w:r w:rsidR="002F0A16" w:rsidRPr="006314C9">
        <w:rPr>
          <w:lang w:val="en-GB"/>
        </w:rPr>
        <w:t xml:space="preserve"> not transposed</w:t>
      </w:r>
      <w:r w:rsidR="00591635" w:rsidRPr="006314C9">
        <w:rPr>
          <w:lang w:val="en-GB"/>
        </w:rPr>
        <w:t xml:space="preserve">. </w:t>
      </w:r>
    </w:p>
    <w:p w:rsidR="00815D28" w:rsidRPr="006314C9" w:rsidRDefault="00815D28" w:rsidP="00152F5E">
      <w:pPr>
        <w:rPr>
          <w:rFonts w:cs="Times New Roman"/>
          <w:lang w:val="en-GB"/>
        </w:rPr>
      </w:pPr>
      <w:r w:rsidRPr="006314C9">
        <w:rPr>
          <w:rFonts w:cs="Times New Roman"/>
          <w:b/>
          <w:lang w:val="en-GB"/>
        </w:rPr>
        <w:t>Implementation</w:t>
      </w:r>
    </w:p>
    <w:p w:rsidR="00815D28" w:rsidRPr="006314C9" w:rsidRDefault="00815D28" w:rsidP="00591635">
      <w:pPr>
        <w:rPr>
          <w:lang w:val="en-GB"/>
        </w:rPr>
      </w:pPr>
      <w:r w:rsidRPr="006314C9">
        <w:rPr>
          <w:lang w:val="en-GB"/>
        </w:rPr>
        <w:t>Since the chemical</w:t>
      </w:r>
      <w:r w:rsidR="00591635" w:rsidRPr="006314C9">
        <w:rPr>
          <w:lang w:val="en-GB"/>
        </w:rPr>
        <w:t>s</w:t>
      </w:r>
      <w:r w:rsidRPr="006314C9">
        <w:rPr>
          <w:lang w:val="en-GB"/>
        </w:rPr>
        <w:t xml:space="preserve"> legislation is quite new, Law No. 27 of 17.3.2016 “on Management of Chemicals”, (enter in force in 2018) the implementation is in initial stage. </w:t>
      </w:r>
      <w:r w:rsidR="000F2D66" w:rsidRPr="006314C9">
        <w:rPr>
          <w:lang w:val="en-GB"/>
        </w:rPr>
        <w:t>The law envisages establishment of a Chemical Office which will be responsible for overseeing the implementation of chemical</w:t>
      </w:r>
      <w:r w:rsidR="00591635" w:rsidRPr="006314C9">
        <w:rPr>
          <w:lang w:val="en-GB"/>
        </w:rPr>
        <w:t>s</w:t>
      </w:r>
      <w:r w:rsidR="000F2D66" w:rsidRPr="006314C9">
        <w:rPr>
          <w:lang w:val="en-GB"/>
        </w:rPr>
        <w:t xml:space="preserve"> legislation, drafting secondary legislation, awareness raising and engaging with industry. MTE through </w:t>
      </w:r>
      <w:proofErr w:type="spellStart"/>
      <w:r w:rsidR="000F2D66" w:rsidRPr="006314C9">
        <w:rPr>
          <w:lang w:val="en-GB"/>
        </w:rPr>
        <w:t>Sida</w:t>
      </w:r>
      <w:proofErr w:type="spellEnd"/>
      <w:r w:rsidR="000F2D66" w:rsidRPr="006314C9">
        <w:rPr>
          <w:lang w:val="en-GB"/>
        </w:rPr>
        <w:t xml:space="preserve"> funded </w:t>
      </w:r>
      <w:proofErr w:type="spellStart"/>
      <w:r w:rsidR="000F2D66" w:rsidRPr="006314C9">
        <w:rPr>
          <w:lang w:val="en-GB"/>
        </w:rPr>
        <w:t>KemI</w:t>
      </w:r>
      <w:proofErr w:type="spellEnd"/>
      <w:r w:rsidR="000F2D66" w:rsidRPr="006314C9">
        <w:rPr>
          <w:lang w:val="en-GB"/>
        </w:rPr>
        <w:t xml:space="preserve"> project will receive support in </w:t>
      </w:r>
      <w:r w:rsidRPr="006314C9">
        <w:rPr>
          <w:lang w:val="en-GB"/>
        </w:rPr>
        <w:t xml:space="preserve">establishment of the </w:t>
      </w:r>
      <w:r w:rsidR="000F2D66" w:rsidRPr="006314C9">
        <w:rPr>
          <w:lang w:val="en-GB"/>
        </w:rPr>
        <w:t>C</w:t>
      </w:r>
      <w:r w:rsidRPr="006314C9">
        <w:rPr>
          <w:lang w:val="en-GB"/>
        </w:rPr>
        <w:t xml:space="preserve">hemical </w:t>
      </w:r>
      <w:r w:rsidR="000F2D66" w:rsidRPr="006314C9">
        <w:rPr>
          <w:lang w:val="en-GB"/>
        </w:rPr>
        <w:t>O</w:t>
      </w:r>
      <w:r w:rsidRPr="006314C9">
        <w:rPr>
          <w:lang w:val="en-GB"/>
        </w:rPr>
        <w:t xml:space="preserve">ffice </w:t>
      </w:r>
      <w:r w:rsidR="000F2D66" w:rsidRPr="006314C9">
        <w:rPr>
          <w:lang w:val="en-GB"/>
        </w:rPr>
        <w:t xml:space="preserve">that </w:t>
      </w:r>
      <w:r w:rsidRPr="006314C9">
        <w:rPr>
          <w:lang w:val="en-GB"/>
        </w:rPr>
        <w:t xml:space="preserve">is expected to </w:t>
      </w:r>
      <w:r w:rsidR="000F2D66" w:rsidRPr="006314C9">
        <w:rPr>
          <w:lang w:val="en-GB"/>
        </w:rPr>
        <w:t xml:space="preserve">improve the </w:t>
      </w:r>
      <w:r w:rsidRPr="006314C9">
        <w:rPr>
          <w:lang w:val="en-GB"/>
        </w:rPr>
        <w:t>implementation of the legislations</w:t>
      </w:r>
      <w:r w:rsidR="000F2D66" w:rsidRPr="006314C9">
        <w:rPr>
          <w:lang w:val="en-GB"/>
        </w:rPr>
        <w:t xml:space="preserve"> in the future</w:t>
      </w:r>
      <w:r w:rsidRPr="006314C9">
        <w:rPr>
          <w:lang w:val="en-GB"/>
        </w:rPr>
        <w:t xml:space="preserve">. No specific plans and/or dates are set for full implementation. </w:t>
      </w:r>
    </w:p>
    <w:p w:rsidR="00CF702C" w:rsidRPr="006314C9" w:rsidRDefault="00CF702C" w:rsidP="008F447A">
      <w:pPr>
        <w:rPr>
          <w:lang w:val="en-GB"/>
        </w:rPr>
      </w:pPr>
      <w:r w:rsidRPr="006314C9">
        <w:rPr>
          <w:lang w:val="en-GB"/>
        </w:rPr>
        <w:t>So far it can be assess that MTE is implementing requirement related to export and import of hazardous chemicals</w:t>
      </w:r>
      <w:r w:rsidR="002F0A16" w:rsidRPr="006314C9">
        <w:rPr>
          <w:lang w:val="en-GB"/>
        </w:rPr>
        <w:t xml:space="preserve"> following the procedures as established by PIC convention. </w:t>
      </w:r>
    </w:p>
    <w:p w:rsidR="00815D28" w:rsidRPr="006314C9" w:rsidRDefault="00815D28" w:rsidP="00591635">
      <w:pPr>
        <w:rPr>
          <w:lang w:val="en-GB"/>
        </w:rPr>
      </w:pPr>
      <w:r w:rsidRPr="006314C9">
        <w:rPr>
          <w:lang w:val="en-GB"/>
        </w:rPr>
        <w:t xml:space="preserve">MTE, customs and inspectorates </w:t>
      </w:r>
      <w:r w:rsidR="006429AA" w:rsidRPr="006314C9">
        <w:rPr>
          <w:lang w:val="en-GB"/>
        </w:rPr>
        <w:t xml:space="preserve">do not </w:t>
      </w:r>
      <w:r w:rsidRPr="006314C9">
        <w:rPr>
          <w:lang w:val="en-GB"/>
        </w:rPr>
        <w:t xml:space="preserve">cooperate </w:t>
      </w:r>
      <w:r w:rsidR="006429AA" w:rsidRPr="006314C9">
        <w:rPr>
          <w:lang w:val="en-GB"/>
        </w:rPr>
        <w:t>well as to ensure implementation of the legislat</w:t>
      </w:r>
      <w:r w:rsidR="000F2D66" w:rsidRPr="006314C9">
        <w:rPr>
          <w:lang w:val="en-GB"/>
        </w:rPr>
        <w:t>ion</w:t>
      </w:r>
      <w:r w:rsidR="006429AA" w:rsidRPr="006314C9">
        <w:rPr>
          <w:lang w:val="en-GB"/>
        </w:rPr>
        <w:t xml:space="preserve">. </w:t>
      </w:r>
      <w:proofErr w:type="spellStart"/>
      <w:r w:rsidR="00B417E3" w:rsidRPr="006314C9">
        <w:rPr>
          <w:lang w:val="en-GB"/>
        </w:rPr>
        <w:t>Detailed</w:t>
      </w:r>
      <w:r w:rsidR="00591635" w:rsidRPr="006314C9">
        <w:rPr>
          <w:lang w:val="en-GB"/>
        </w:rPr>
        <w:t>analysis</w:t>
      </w:r>
      <w:r w:rsidR="00B417E3" w:rsidRPr="006314C9">
        <w:rPr>
          <w:lang w:val="en-GB"/>
        </w:rPr>
        <w:t>of</w:t>
      </w:r>
      <w:proofErr w:type="spellEnd"/>
      <w:r w:rsidR="00B417E3" w:rsidRPr="006314C9">
        <w:rPr>
          <w:lang w:val="en-GB"/>
        </w:rPr>
        <w:t xml:space="preserve"> tasks and duties among involved institutions </w:t>
      </w:r>
      <w:proofErr w:type="gramStart"/>
      <w:r w:rsidR="00B417E3" w:rsidRPr="006314C9">
        <w:rPr>
          <w:lang w:val="en-GB"/>
        </w:rPr>
        <w:t>is</w:t>
      </w:r>
      <w:proofErr w:type="gramEnd"/>
      <w:r w:rsidR="00B417E3" w:rsidRPr="006314C9">
        <w:rPr>
          <w:lang w:val="en-GB"/>
        </w:rPr>
        <w:t xml:space="preserve"> needed as to designate clear competences and responsibility in implementation</w:t>
      </w:r>
      <w:r w:rsidRPr="006314C9">
        <w:rPr>
          <w:lang w:val="en-GB"/>
        </w:rPr>
        <w:t xml:space="preserve">. </w:t>
      </w:r>
      <w:r w:rsidR="00591635" w:rsidRPr="006314C9">
        <w:rPr>
          <w:lang w:val="en-GB"/>
        </w:rPr>
        <w:t xml:space="preserve">There is also an </w:t>
      </w:r>
      <w:r w:rsidRPr="006314C9">
        <w:rPr>
          <w:lang w:val="en-GB"/>
        </w:rPr>
        <w:t xml:space="preserve">urgent </w:t>
      </w:r>
      <w:proofErr w:type="spellStart"/>
      <w:r w:rsidRPr="006314C9">
        <w:rPr>
          <w:lang w:val="en-GB"/>
        </w:rPr>
        <w:t>need</w:t>
      </w:r>
      <w:r w:rsidR="00591635" w:rsidRPr="006314C9">
        <w:rPr>
          <w:lang w:val="en-GB"/>
        </w:rPr>
        <w:t>to</w:t>
      </w:r>
      <w:r w:rsidR="000F2D66" w:rsidRPr="006314C9">
        <w:rPr>
          <w:lang w:val="en-GB"/>
        </w:rPr>
        <w:t>revis</w:t>
      </w:r>
      <w:r w:rsidR="00591635" w:rsidRPr="006314C9">
        <w:rPr>
          <w:lang w:val="en-GB"/>
        </w:rPr>
        <w:t>e</w:t>
      </w:r>
      <w:proofErr w:type="spellEnd"/>
      <w:r w:rsidR="00591635" w:rsidRPr="006314C9">
        <w:rPr>
          <w:lang w:val="en-GB"/>
        </w:rPr>
        <w:t xml:space="preserve"> </w:t>
      </w:r>
      <w:r w:rsidR="000F2D66" w:rsidRPr="006314C9">
        <w:rPr>
          <w:lang w:val="en-GB"/>
        </w:rPr>
        <w:t>the</w:t>
      </w:r>
      <w:r w:rsidRPr="006314C9">
        <w:rPr>
          <w:lang w:val="en-GB"/>
        </w:rPr>
        <w:t xml:space="preserve"> National Plan for a Safety Management of Chemicals</w:t>
      </w:r>
      <w:r w:rsidR="000F2D66" w:rsidRPr="006314C9">
        <w:rPr>
          <w:lang w:val="en-GB"/>
        </w:rPr>
        <w:t xml:space="preserve"> that provide guidance for the relevant administration considering the chemicals groups of pesticides, fuel products, industrial chemicals and consumers’ chemical</w:t>
      </w:r>
      <w:r w:rsidRPr="006314C9">
        <w:rPr>
          <w:lang w:val="en-GB"/>
        </w:rPr>
        <w:t>. This Plan must be revised every 5 years.</w:t>
      </w:r>
    </w:p>
    <w:p w:rsidR="00815D28" w:rsidRPr="006314C9" w:rsidRDefault="00815D28" w:rsidP="00152F5E">
      <w:pPr>
        <w:rPr>
          <w:rFonts w:cs="Times New Roman"/>
          <w:lang w:val="en-GB"/>
        </w:rPr>
      </w:pPr>
      <w:r w:rsidRPr="006314C9">
        <w:rPr>
          <w:rFonts w:cs="Times New Roman"/>
          <w:b/>
          <w:lang w:val="en-GB"/>
        </w:rPr>
        <w:t>Administrative capacity</w:t>
      </w:r>
    </w:p>
    <w:p w:rsidR="0078444D" w:rsidRPr="006314C9" w:rsidRDefault="00815D28" w:rsidP="00152F5E">
      <w:pPr>
        <w:rPr>
          <w:rFonts w:cs="Times New Roman"/>
          <w:lang w:val="en-GB"/>
        </w:rPr>
      </w:pPr>
      <w:r w:rsidRPr="006314C9">
        <w:rPr>
          <w:rFonts w:cs="Times New Roman"/>
          <w:lang w:val="en-GB"/>
        </w:rPr>
        <w:t>Ministry of Tourism and Environment (MTE) has the main responsibility in developing policies and strategies for chemicals management. General Directorate for Environmental Policies and Strategy</w:t>
      </w:r>
      <w:r w:rsidR="002A7486" w:rsidRPr="006314C9">
        <w:rPr>
          <w:rFonts w:cs="Times New Roman"/>
          <w:lang w:val="en-GB"/>
        </w:rPr>
        <w:t xml:space="preserve"> in </w:t>
      </w:r>
      <w:r w:rsidR="007667D5" w:rsidRPr="006314C9">
        <w:rPr>
          <w:rFonts w:cs="Times New Roman"/>
          <w:lang w:val="en-GB"/>
        </w:rPr>
        <w:t>which</w:t>
      </w:r>
      <w:r w:rsidR="002A7486" w:rsidRPr="006314C9">
        <w:rPr>
          <w:rFonts w:cs="Times New Roman"/>
          <w:lang w:val="en-GB"/>
        </w:rPr>
        <w:t>2 persons are working on chemical</w:t>
      </w:r>
      <w:r w:rsidR="007667D5" w:rsidRPr="006314C9">
        <w:rPr>
          <w:rFonts w:cs="Times New Roman"/>
          <w:lang w:val="en-GB"/>
        </w:rPr>
        <w:t>s,</w:t>
      </w:r>
      <w:r w:rsidR="002A7486" w:rsidRPr="006314C9">
        <w:rPr>
          <w:rFonts w:cs="Times New Roman"/>
          <w:lang w:val="en-GB"/>
        </w:rPr>
        <w:t xml:space="preserve"> among other issues</w:t>
      </w:r>
      <w:r w:rsidRPr="006314C9">
        <w:rPr>
          <w:rFonts w:cs="Times New Roman"/>
          <w:lang w:val="en-GB"/>
        </w:rPr>
        <w:t>. Establishing of Chemical Office</w:t>
      </w:r>
      <w:r w:rsidR="002A7486" w:rsidRPr="006314C9">
        <w:rPr>
          <w:rFonts w:cs="Times New Roman"/>
          <w:lang w:val="en-GB"/>
        </w:rPr>
        <w:t>,</w:t>
      </w:r>
      <w:r w:rsidRPr="006314C9">
        <w:rPr>
          <w:rFonts w:cs="Times New Roman"/>
          <w:lang w:val="en-GB"/>
        </w:rPr>
        <w:t xml:space="preserve"> as foreseen in Art 6.4 Law No. 27 of 17.3.2016 “on Management of Chemicals”</w:t>
      </w:r>
      <w:r w:rsidR="002A7486" w:rsidRPr="006314C9">
        <w:rPr>
          <w:rFonts w:cs="Times New Roman"/>
          <w:lang w:val="en-GB"/>
        </w:rPr>
        <w:t>,</w:t>
      </w:r>
      <w:r w:rsidRPr="006314C9">
        <w:rPr>
          <w:rFonts w:cs="Times New Roman"/>
          <w:lang w:val="en-GB"/>
        </w:rPr>
        <w:t xml:space="preserve"> is a </w:t>
      </w:r>
      <w:r w:rsidR="002A7486" w:rsidRPr="006314C9">
        <w:rPr>
          <w:rFonts w:cs="Times New Roman"/>
          <w:lang w:val="en-GB"/>
        </w:rPr>
        <w:t>priority as</w:t>
      </w:r>
      <w:r w:rsidRPr="006314C9">
        <w:rPr>
          <w:rFonts w:cs="Times New Roman"/>
          <w:lang w:val="en-GB"/>
        </w:rPr>
        <w:t xml:space="preserve"> this office will be responsible for preparation of sub-legal acts stemming from this law (27</w:t>
      </w:r>
      <w:r w:rsidR="002A7486" w:rsidRPr="006314C9">
        <w:rPr>
          <w:rFonts w:cs="Times New Roman"/>
          <w:lang w:val="en-GB"/>
        </w:rPr>
        <w:t xml:space="preserve"> in total</w:t>
      </w:r>
      <w:r w:rsidRPr="006314C9">
        <w:rPr>
          <w:rFonts w:cs="Times New Roman"/>
          <w:lang w:val="en-GB"/>
        </w:rPr>
        <w:t>); oversee the implementation of the provisions of this law and the provisions issued for its implementation; inter-institutional coordination regarding the management of chemicals; international co-operation</w:t>
      </w:r>
      <w:r w:rsidR="002A7486" w:rsidRPr="006314C9">
        <w:rPr>
          <w:rFonts w:cs="Times New Roman"/>
          <w:lang w:val="en-GB"/>
        </w:rPr>
        <w:t xml:space="preserve"> and overseeing implementation of chemical leg</w:t>
      </w:r>
      <w:r w:rsidR="007667D5" w:rsidRPr="006314C9">
        <w:rPr>
          <w:rFonts w:cs="Times New Roman"/>
          <w:lang w:val="en-GB"/>
        </w:rPr>
        <w:t>i</w:t>
      </w:r>
      <w:r w:rsidR="002A7486" w:rsidRPr="006314C9">
        <w:rPr>
          <w:rFonts w:cs="Times New Roman"/>
          <w:lang w:val="en-GB"/>
        </w:rPr>
        <w:t>s</w:t>
      </w:r>
      <w:r w:rsidR="007667D5" w:rsidRPr="006314C9">
        <w:rPr>
          <w:rFonts w:cs="Times New Roman"/>
          <w:lang w:val="en-GB"/>
        </w:rPr>
        <w:t>l</w:t>
      </w:r>
      <w:r w:rsidR="002A7486" w:rsidRPr="006314C9">
        <w:rPr>
          <w:rFonts w:cs="Times New Roman"/>
          <w:lang w:val="en-GB"/>
        </w:rPr>
        <w:t xml:space="preserve">ation in Albania. Its establishment </w:t>
      </w:r>
      <w:r w:rsidRPr="006314C9">
        <w:rPr>
          <w:rFonts w:cs="Times New Roman"/>
          <w:lang w:val="en-GB"/>
        </w:rPr>
        <w:t>was foreseen in the budget for the year 2019</w:t>
      </w:r>
      <w:r w:rsidR="002A7486" w:rsidRPr="006314C9">
        <w:rPr>
          <w:rFonts w:cs="Times New Roman"/>
          <w:lang w:val="en-GB"/>
        </w:rPr>
        <w:t xml:space="preserve"> envisaging employment of</w:t>
      </w:r>
      <w:r w:rsidRPr="006314C9">
        <w:rPr>
          <w:rFonts w:cs="Times New Roman"/>
          <w:lang w:val="en-GB"/>
        </w:rPr>
        <w:t xml:space="preserve"> 3 persons </w:t>
      </w:r>
      <w:r w:rsidR="002A7486" w:rsidRPr="006314C9">
        <w:rPr>
          <w:rFonts w:cs="Times New Roman"/>
          <w:lang w:val="en-GB"/>
        </w:rPr>
        <w:t>at the beginning and reaching</w:t>
      </w:r>
      <w:r w:rsidRPr="006314C9">
        <w:rPr>
          <w:rFonts w:cs="Times New Roman"/>
          <w:lang w:val="en-GB"/>
        </w:rPr>
        <w:t xml:space="preserve"> 12 persons</w:t>
      </w:r>
      <w:r w:rsidR="002A7486" w:rsidRPr="006314C9">
        <w:rPr>
          <w:rFonts w:cs="Times New Roman"/>
          <w:lang w:val="en-GB"/>
        </w:rPr>
        <w:t xml:space="preserve"> in time</w:t>
      </w:r>
      <w:r w:rsidRPr="006314C9">
        <w:rPr>
          <w:rFonts w:cs="Times New Roman"/>
          <w:lang w:val="en-GB"/>
        </w:rPr>
        <w:t xml:space="preserve">. Until now this office is not established. </w:t>
      </w:r>
      <w:r w:rsidR="0078444D" w:rsidRPr="006314C9">
        <w:rPr>
          <w:rFonts w:cs="Times New Roman"/>
          <w:lang w:val="en-GB"/>
        </w:rPr>
        <w:t>Capacities</w:t>
      </w:r>
      <w:r w:rsidRPr="006314C9">
        <w:rPr>
          <w:rFonts w:cs="Times New Roman"/>
          <w:lang w:val="en-GB"/>
        </w:rPr>
        <w:t xml:space="preserve"> are weak both in numbers and in skills required for implementation of EU directives and regulation</w:t>
      </w:r>
      <w:r w:rsidR="007667D5" w:rsidRPr="006314C9">
        <w:rPr>
          <w:rFonts w:cs="Times New Roman"/>
          <w:lang w:val="en-GB"/>
        </w:rPr>
        <w:t>s</w:t>
      </w:r>
      <w:r w:rsidRPr="006314C9">
        <w:rPr>
          <w:rFonts w:cs="Times New Roman"/>
          <w:lang w:val="en-GB"/>
        </w:rPr>
        <w:t xml:space="preserve"> for chemicals sub</w:t>
      </w:r>
      <w:r w:rsidR="0078444D" w:rsidRPr="006314C9">
        <w:rPr>
          <w:rFonts w:cs="Times New Roman"/>
          <w:lang w:val="en-GB"/>
        </w:rPr>
        <w:t>-</w:t>
      </w:r>
      <w:r w:rsidRPr="006314C9">
        <w:rPr>
          <w:rFonts w:cs="Times New Roman"/>
          <w:lang w:val="en-GB"/>
        </w:rPr>
        <w:t xml:space="preserve">chapter. The </w:t>
      </w:r>
      <w:r w:rsidR="0038366E" w:rsidRPr="006314C9">
        <w:rPr>
          <w:rFonts w:cs="Times New Roman"/>
          <w:lang w:val="en-GB"/>
        </w:rPr>
        <w:t>C</w:t>
      </w:r>
      <w:r w:rsidRPr="006314C9">
        <w:rPr>
          <w:rFonts w:cs="Times New Roman"/>
          <w:lang w:val="en-GB"/>
        </w:rPr>
        <w:t xml:space="preserve">hemical </w:t>
      </w:r>
      <w:r w:rsidR="0038366E" w:rsidRPr="006314C9">
        <w:rPr>
          <w:rFonts w:cs="Times New Roman"/>
          <w:lang w:val="en-GB"/>
        </w:rPr>
        <w:t>O</w:t>
      </w:r>
      <w:r w:rsidRPr="006314C9">
        <w:rPr>
          <w:rFonts w:cs="Times New Roman"/>
          <w:lang w:val="en-GB"/>
        </w:rPr>
        <w:t>ffice will be responsible for the “helpdesk” mechanism and public information</w:t>
      </w:r>
      <w:r w:rsidR="0038366E" w:rsidRPr="006314C9">
        <w:rPr>
          <w:rFonts w:cs="Times New Roman"/>
          <w:lang w:val="en-GB"/>
        </w:rPr>
        <w:t>, register the applications for import and export of substances and certain hazardous preparations according to the data collected from the different ministries and agency in charge by the Law</w:t>
      </w:r>
      <w:r w:rsidRPr="006314C9">
        <w:rPr>
          <w:rFonts w:cs="Times New Roman"/>
          <w:lang w:val="en-GB"/>
        </w:rPr>
        <w:t xml:space="preserve">. Increase the administrative capacity is a </w:t>
      </w:r>
      <w:proofErr w:type="spellStart"/>
      <w:r w:rsidR="00275819" w:rsidRPr="006314C9">
        <w:rPr>
          <w:rFonts w:cs="Times New Roman"/>
          <w:lang w:val="en-GB"/>
        </w:rPr>
        <w:t>need</w:t>
      </w:r>
      <w:proofErr w:type="gramStart"/>
      <w:r w:rsidR="00275819" w:rsidRPr="006314C9">
        <w:rPr>
          <w:rFonts w:cs="Times New Roman"/>
          <w:lang w:val="en-GB"/>
        </w:rPr>
        <w:t>;</w:t>
      </w:r>
      <w:r w:rsidR="00EC0B02" w:rsidRPr="006314C9">
        <w:rPr>
          <w:rFonts w:cs="Times New Roman"/>
          <w:lang w:val="en-GB"/>
        </w:rPr>
        <w:t>both</w:t>
      </w:r>
      <w:proofErr w:type="spellEnd"/>
      <w:proofErr w:type="gramEnd"/>
      <w:r w:rsidR="00EC0B02" w:rsidRPr="006314C9">
        <w:rPr>
          <w:rFonts w:cs="Times New Roman"/>
          <w:lang w:val="en-GB"/>
        </w:rPr>
        <w:t xml:space="preserve"> </w:t>
      </w:r>
      <w:r w:rsidRPr="006314C9">
        <w:rPr>
          <w:rFonts w:cs="Times New Roman"/>
          <w:lang w:val="en-GB"/>
        </w:rPr>
        <w:t>increase the number of staff in MTE (Chem</w:t>
      </w:r>
      <w:r w:rsidR="00EC0B02" w:rsidRPr="006314C9">
        <w:rPr>
          <w:rFonts w:cs="Times New Roman"/>
          <w:lang w:val="en-GB"/>
        </w:rPr>
        <w:t>ical</w:t>
      </w:r>
      <w:r w:rsidRPr="006314C9">
        <w:rPr>
          <w:rFonts w:cs="Times New Roman"/>
          <w:lang w:val="en-GB"/>
        </w:rPr>
        <w:t xml:space="preserve"> Office)</w:t>
      </w:r>
      <w:r w:rsidR="00EC0B02" w:rsidRPr="006314C9">
        <w:rPr>
          <w:rFonts w:cs="Times New Roman"/>
          <w:lang w:val="en-GB"/>
        </w:rPr>
        <w:t xml:space="preserve"> and with appropriate equipment</w:t>
      </w:r>
      <w:r w:rsidR="0078444D" w:rsidRPr="006314C9">
        <w:rPr>
          <w:rFonts w:cs="Times New Roman"/>
          <w:lang w:val="en-GB"/>
        </w:rPr>
        <w:t>.</w:t>
      </w:r>
    </w:p>
    <w:p w:rsidR="0078444D" w:rsidRPr="006314C9" w:rsidRDefault="0078444D" w:rsidP="00152F5E">
      <w:pPr>
        <w:rPr>
          <w:rFonts w:cs="Times New Roman"/>
          <w:lang w:val="en-GB"/>
        </w:rPr>
      </w:pPr>
      <w:r w:rsidRPr="006314C9">
        <w:rPr>
          <w:rFonts w:cs="Times New Roman"/>
          <w:lang w:val="en-GB"/>
        </w:rPr>
        <w:t xml:space="preserve">Many of </w:t>
      </w:r>
      <w:r w:rsidR="00C32A8D" w:rsidRPr="006314C9">
        <w:rPr>
          <w:rFonts w:cs="Times New Roman"/>
          <w:lang w:val="en-GB"/>
        </w:rPr>
        <w:t>requirements</w:t>
      </w:r>
      <w:r w:rsidRPr="006314C9">
        <w:rPr>
          <w:rFonts w:cs="Times New Roman"/>
          <w:lang w:val="en-GB"/>
        </w:rPr>
        <w:t xml:space="preserve"> are dealing with introducing different chemical products on the Albanian market so Inspectorate for Market Surveillance </w:t>
      </w:r>
      <w:r w:rsidR="009672F4" w:rsidRPr="006314C9">
        <w:rPr>
          <w:rFonts w:cs="Times New Roman"/>
          <w:lang w:val="en-GB"/>
        </w:rPr>
        <w:t>(</w:t>
      </w:r>
      <w:r w:rsidR="00C32A8D" w:rsidRPr="006314C9">
        <w:rPr>
          <w:rFonts w:cs="Times New Roman"/>
          <w:lang w:val="en-GB"/>
        </w:rPr>
        <w:t>I</w:t>
      </w:r>
      <w:r w:rsidR="00275819" w:rsidRPr="006314C9">
        <w:rPr>
          <w:rFonts w:cs="Times New Roman"/>
          <w:lang w:val="en-GB"/>
        </w:rPr>
        <w:t>MS</w:t>
      </w:r>
      <w:r w:rsidR="009672F4" w:rsidRPr="006314C9">
        <w:rPr>
          <w:rFonts w:cs="Times New Roman"/>
          <w:lang w:val="en-GB"/>
        </w:rPr>
        <w:t xml:space="preserve">) </w:t>
      </w:r>
      <w:r w:rsidRPr="006314C9">
        <w:rPr>
          <w:rFonts w:cs="Times New Roman"/>
          <w:lang w:val="en-GB"/>
        </w:rPr>
        <w:t>under the Ministry of Finance and Economy (MEF) need to be well informed and trained how to understand and control the different chemical products</w:t>
      </w:r>
      <w:r w:rsidR="00A83275" w:rsidRPr="006314C9">
        <w:rPr>
          <w:rFonts w:cs="Times New Roman"/>
          <w:lang w:val="en-GB"/>
        </w:rPr>
        <w:t xml:space="preserve"> that can be found in the Albanian market</w:t>
      </w:r>
      <w:r w:rsidRPr="006314C9">
        <w:rPr>
          <w:rFonts w:cs="Times New Roman"/>
          <w:lang w:val="en-GB"/>
        </w:rPr>
        <w:t>.</w:t>
      </w:r>
      <w:r w:rsidR="009672F4" w:rsidRPr="006314C9">
        <w:rPr>
          <w:rFonts w:cs="Times New Roman"/>
          <w:lang w:val="en-GB"/>
        </w:rPr>
        <w:t xml:space="preserve"> There is very little knowledge of </w:t>
      </w:r>
      <w:r w:rsidR="00275819" w:rsidRPr="006314C9">
        <w:rPr>
          <w:rFonts w:cs="Times New Roman"/>
          <w:lang w:val="en-GB"/>
        </w:rPr>
        <w:t>these requirements</w:t>
      </w:r>
      <w:r w:rsidR="009672F4" w:rsidRPr="006314C9">
        <w:rPr>
          <w:rFonts w:cs="Times New Roman"/>
          <w:lang w:val="en-GB"/>
        </w:rPr>
        <w:t xml:space="preserve"> within IMS and no person is particularly in charge. </w:t>
      </w:r>
    </w:p>
    <w:p w:rsidR="005753A8" w:rsidRPr="006314C9" w:rsidRDefault="00815D28" w:rsidP="00C32A8D">
      <w:pPr>
        <w:rPr>
          <w:lang w:val="en-GB"/>
        </w:rPr>
      </w:pPr>
      <w:r w:rsidRPr="006314C9">
        <w:rPr>
          <w:lang w:val="en-GB"/>
        </w:rPr>
        <w:t>Ministry of Health and Social Protection</w:t>
      </w:r>
      <w:r w:rsidR="005753A8" w:rsidRPr="006314C9">
        <w:rPr>
          <w:lang w:val="en-GB"/>
        </w:rPr>
        <w:t xml:space="preserve"> (MHSP)</w:t>
      </w:r>
      <w:proofErr w:type="gramStart"/>
      <w:r w:rsidR="009672F4" w:rsidRPr="006314C9">
        <w:rPr>
          <w:lang w:val="en-GB"/>
        </w:rPr>
        <w:t>,</w:t>
      </w:r>
      <w:r w:rsidRPr="006314C9">
        <w:rPr>
          <w:lang w:val="en-GB"/>
        </w:rPr>
        <w:t>Department</w:t>
      </w:r>
      <w:proofErr w:type="gramEnd"/>
      <w:r w:rsidRPr="006314C9">
        <w:rPr>
          <w:lang w:val="en-GB"/>
        </w:rPr>
        <w:t xml:space="preserve"> of Programming Standardization and </w:t>
      </w:r>
      <w:r w:rsidR="005753A8" w:rsidRPr="006314C9">
        <w:rPr>
          <w:lang w:val="en-GB"/>
        </w:rPr>
        <w:t>H</w:t>
      </w:r>
      <w:r w:rsidRPr="006314C9">
        <w:rPr>
          <w:lang w:val="en-GB"/>
        </w:rPr>
        <w:t>armonization of Regulatory Framework</w:t>
      </w:r>
      <w:r w:rsidR="005753A8" w:rsidRPr="006314C9">
        <w:rPr>
          <w:lang w:val="en-GB"/>
        </w:rPr>
        <w:t xml:space="preserve">, with 3 </w:t>
      </w:r>
      <w:r w:rsidR="00C32A8D" w:rsidRPr="006314C9">
        <w:rPr>
          <w:lang w:val="en-GB"/>
        </w:rPr>
        <w:t xml:space="preserve">responsible </w:t>
      </w:r>
      <w:r w:rsidR="005753A8" w:rsidRPr="006314C9">
        <w:rPr>
          <w:lang w:val="en-GB"/>
        </w:rPr>
        <w:t>persons,</w:t>
      </w:r>
      <w:r w:rsidRPr="006314C9">
        <w:rPr>
          <w:lang w:val="en-GB"/>
        </w:rPr>
        <w:t xml:space="preserve"> provide legal advice and monitoring of </w:t>
      </w:r>
      <w:r w:rsidR="00C32A8D" w:rsidRPr="006314C9">
        <w:rPr>
          <w:lang w:val="en-GB"/>
        </w:rPr>
        <w:t xml:space="preserve">implementation of the </w:t>
      </w:r>
      <w:r w:rsidRPr="006314C9">
        <w:rPr>
          <w:lang w:val="en-GB"/>
        </w:rPr>
        <w:t xml:space="preserve">regulatory </w:t>
      </w:r>
      <w:r w:rsidR="009672F4" w:rsidRPr="006314C9">
        <w:rPr>
          <w:lang w:val="en-GB"/>
        </w:rPr>
        <w:t>framework</w:t>
      </w:r>
      <w:r w:rsidR="005753A8" w:rsidRPr="006314C9">
        <w:rPr>
          <w:lang w:val="en-GB"/>
        </w:rPr>
        <w:t xml:space="preserve"> and is functioning as </w:t>
      </w:r>
      <w:proofErr w:type="spellStart"/>
      <w:r w:rsidR="005753A8" w:rsidRPr="006314C9">
        <w:rPr>
          <w:lang w:val="en-GB"/>
        </w:rPr>
        <w:t>biocidal</w:t>
      </w:r>
      <w:proofErr w:type="spellEnd"/>
      <w:r w:rsidR="005753A8" w:rsidRPr="006314C9">
        <w:rPr>
          <w:lang w:val="en-GB"/>
        </w:rPr>
        <w:t xml:space="preserve"> products authorization secretariat</w:t>
      </w:r>
      <w:r w:rsidR="009672F4" w:rsidRPr="006314C9">
        <w:rPr>
          <w:lang w:val="en-GB"/>
        </w:rPr>
        <w:t xml:space="preserve">. </w:t>
      </w:r>
      <w:r w:rsidR="005753A8" w:rsidRPr="006314C9">
        <w:rPr>
          <w:lang w:val="en-GB"/>
        </w:rPr>
        <w:t xml:space="preserve">MHSP is responsible for occupational health and safety related to chemical hazards in the workplace, for issuing permits for the production of substances and preparations of the classes 6 to 145, for their evaluation, testing, management and control. In addition, </w:t>
      </w:r>
      <w:proofErr w:type="spellStart"/>
      <w:r w:rsidR="005753A8" w:rsidRPr="006314C9">
        <w:rPr>
          <w:lang w:val="en-GB"/>
        </w:rPr>
        <w:t>MoHSP</w:t>
      </w:r>
      <w:proofErr w:type="spellEnd"/>
      <w:r w:rsidR="005753A8" w:rsidRPr="006314C9">
        <w:rPr>
          <w:lang w:val="en-GB"/>
        </w:rPr>
        <w:t xml:space="preserve"> should control the import, manufactur</w:t>
      </w:r>
      <w:r w:rsidR="00C32A8D" w:rsidRPr="006314C9">
        <w:rPr>
          <w:lang w:val="en-GB"/>
        </w:rPr>
        <w:t>ing</w:t>
      </w:r>
      <w:r w:rsidR="005753A8" w:rsidRPr="006314C9">
        <w:rPr>
          <w:lang w:val="en-GB"/>
        </w:rPr>
        <w:t xml:space="preserve">, marketing, storage, use and decontamination of hazardous substances, </w:t>
      </w:r>
      <w:r w:rsidR="00C32A8D" w:rsidRPr="006314C9">
        <w:rPr>
          <w:lang w:val="en-GB"/>
        </w:rPr>
        <w:t xml:space="preserve">issuing of </w:t>
      </w:r>
      <w:r w:rsidR="005753A8" w:rsidRPr="006314C9">
        <w:rPr>
          <w:lang w:val="en-GB"/>
        </w:rPr>
        <w:t xml:space="preserve">permits for new chemicals that are </w:t>
      </w:r>
      <w:r w:rsidR="00C32A8D" w:rsidRPr="006314C9">
        <w:rPr>
          <w:lang w:val="en-GB"/>
        </w:rPr>
        <w:t xml:space="preserve">used </w:t>
      </w:r>
      <w:r w:rsidR="005753A8" w:rsidRPr="006314C9">
        <w:rPr>
          <w:lang w:val="en-GB"/>
        </w:rPr>
        <w:t>by industry, agriculture and the consume</w:t>
      </w:r>
      <w:r w:rsidR="00C32A8D" w:rsidRPr="006314C9">
        <w:rPr>
          <w:lang w:val="en-GB"/>
        </w:rPr>
        <w:t xml:space="preserve">rs. </w:t>
      </w:r>
    </w:p>
    <w:p w:rsidR="00590337" w:rsidRPr="006314C9" w:rsidRDefault="00815D28">
      <w:pPr>
        <w:rPr>
          <w:lang w:val="en-GB"/>
        </w:rPr>
      </w:pPr>
      <w:r w:rsidRPr="006314C9">
        <w:rPr>
          <w:lang w:val="en-GB"/>
        </w:rPr>
        <w:lastRenderedPageBreak/>
        <w:t xml:space="preserve">Ministry of Agricultural and Rural Development </w:t>
      </w:r>
      <w:r w:rsidR="00E933CB" w:rsidRPr="006314C9">
        <w:rPr>
          <w:lang w:val="en-GB"/>
        </w:rPr>
        <w:t>(</w:t>
      </w:r>
      <w:r w:rsidRPr="006314C9">
        <w:rPr>
          <w:lang w:val="en-GB"/>
        </w:rPr>
        <w:t>MARD</w:t>
      </w:r>
      <w:r w:rsidR="00E933CB" w:rsidRPr="006314C9">
        <w:rPr>
          <w:lang w:val="en-GB"/>
        </w:rPr>
        <w:t>)</w:t>
      </w:r>
      <w:r w:rsidRPr="006314C9">
        <w:rPr>
          <w:lang w:val="en-GB"/>
        </w:rPr>
        <w:t xml:space="preserve">, Directorate of Deregulation, </w:t>
      </w:r>
      <w:r w:rsidR="009672F4" w:rsidRPr="006314C9">
        <w:rPr>
          <w:lang w:val="en-GB"/>
        </w:rPr>
        <w:t xml:space="preserve">is </w:t>
      </w:r>
      <w:r w:rsidR="005753A8" w:rsidRPr="006314C9">
        <w:rPr>
          <w:lang w:val="en-GB"/>
        </w:rPr>
        <w:t>responsible</w:t>
      </w:r>
      <w:r w:rsidR="009672F4" w:rsidRPr="006314C9">
        <w:rPr>
          <w:lang w:val="en-GB"/>
        </w:rPr>
        <w:t xml:space="preserve"> for </w:t>
      </w:r>
      <w:r w:rsidRPr="006314C9">
        <w:rPr>
          <w:lang w:val="en-GB"/>
        </w:rPr>
        <w:t xml:space="preserve">permits, </w:t>
      </w:r>
      <w:proofErr w:type="spellStart"/>
      <w:r w:rsidR="00275819" w:rsidRPr="006314C9">
        <w:rPr>
          <w:lang w:val="en-GB"/>
        </w:rPr>
        <w:t>licensing</w:t>
      </w:r>
      <w:r w:rsidRPr="006314C9">
        <w:rPr>
          <w:lang w:val="en-GB"/>
        </w:rPr>
        <w:t>and</w:t>
      </w:r>
      <w:proofErr w:type="spellEnd"/>
      <w:r w:rsidRPr="006314C9">
        <w:rPr>
          <w:lang w:val="en-GB"/>
        </w:rPr>
        <w:t xml:space="preserve"> </w:t>
      </w:r>
      <w:r w:rsidR="00C32A8D" w:rsidRPr="006314C9">
        <w:rPr>
          <w:lang w:val="en-GB"/>
        </w:rPr>
        <w:t xml:space="preserve">monitoring </w:t>
      </w:r>
      <w:r w:rsidR="009672F4" w:rsidRPr="006314C9">
        <w:rPr>
          <w:lang w:val="en-GB"/>
        </w:rPr>
        <w:t>of chemical</w:t>
      </w:r>
      <w:r w:rsidR="00C32A8D" w:rsidRPr="006314C9">
        <w:rPr>
          <w:lang w:val="en-GB"/>
        </w:rPr>
        <w:t>s</w:t>
      </w:r>
      <w:r w:rsidR="009672F4" w:rsidRPr="006314C9">
        <w:rPr>
          <w:lang w:val="en-GB"/>
        </w:rPr>
        <w:t xml:space="preserve"> used in agriculture (pesticides, herbicides and insecticides)</w:t>
      </w:r>
      <w:r w:rsidR="00E933CB" w:rsidRPr="006314C9">
        <w:rPr>
          <w:lang w:val="en-GB"/>
        </w:rPr>
        <w:t xml:space="preserve"> and has the lead in developing policies and strategies for plant protection products</w:t>
      </w:r>
      <w:r w:rsidR="006D5BA2" w:rsidRPr="006314C9">
        <w:rPr>
          <w:lang w:val="en-GB"/>
        </w:rPr>
        <w:t xml:space="preserve"> (PPP)</w:t>
      </w:r>
      <w:r w:rsidR="009672F4" w:rsidRPr="006314C9">
        <w:rPr>
          <w:lang w:val="en-GB"/>
        </w:rPr>
        <w:t>.</w:t>
      </w:r>
      <w:r w:rsidR="00E933CB" w:rsidRPr="006314C9">
        <w:rPr>
          <w:lang w:val="en-GB"/>
        </w:rPr>
        <w:t xml:space="preserve"> MARD</w:t>
      </w:r>
      <w:r w:rsidR="006D5BA2" w:rsidRPr="006314C9">
        <w:rPr>
          <w:lang w:val="en-GB"/>
        </w:rPr>
        <w:t xml:space="preserve"> has competencies for developing legislation and registration of PPP in cooperation</w:t>
      </w:r>
      <w:r w:rsidR="00405110" w:rsidRPr="006314C9">
        <w:rPr>
          <w:lang w:val="en-GB"/>
        </w:rPr>
        <w:t xml:space="preserve"> with several institutions</w:t>
      </w:r>
      <w:r w:rsidR="006D5BA2" w:rsidRPr="006314C9">
        <w:rPr>
          <w:lang w:val="en-GB"/>
        </w:rPr>
        <w:t xml:space="preserve">. </w:t>
      </w:r>
      <w:r w:rsidR="00405110" w:rsidRPr="006314C9">
        <w:rPr>
          <w:lang w:val="en-GB"/>
        </w:rPr>
        <w:t xml:space="preserve">Institutions that perform certain professional and technical activities during the PPP registration procedure, including toxicological and </w:t>
      </w:r>
      <w:proofErr w:type="spellStart"/>
      <w:r w:rsidR="00405110" w:rsidRPr="006314C9">
        <w:rPr>
          <w:lang w:val="en-GB"/>
        </w:rPr>
        <w:t>ecotoxicological</w:t>
      </w:r>
      <w:proofErr w:type="spellEnd"/>
      <w:r w:rsidR="00405110" w:rsidRPr="006314C9">
        <w:rPr>
          <w:lang w:val="en-GB"/>
        </w:rPr>
        <w:t xml:space="preserve"> research, and </w:t>
      </w:r>
      <w:proofErr w:type="spellStart"/>
      <w:r w:rsidR="00405110" w:rsidRPr="006314C9">
        <w:rPr>
          <w:lang w:val="en-GB"/>
        </w:rPr>
        <w:t>physico</w:t>
      </w:r>
      <w:proofErr w:type="spellEnd"/>
      <w:r w:rsidR="00405110" w:rsidRPr="006314C9">
        <w:rPr>
          <w:lang w:val="en-GB"/>
        </w:rPr>
        <w:t xml:space="preserve">-chemical analyses of PPP are: the Institute of Food Safety and Veterinary Matters (IFSV), the Department of Plant Protection (DPP) of the University of Agriculture, Tirana, </w:t>
      </w:r>
      <w:proofErr w:type="gramStart"/>
      <w:r w:rsidR="00405110" w:rsidRPr="006314C9">
        <w:rPr>
          <w:lang w:val="en-GB"/>
        </w:rPr>
        <w:t>the</w:t>
      </w:r>
      <w:proofErr w:type="gramEnd"/>
      <w:r w:rsidR="00405110" w:rsidRPr="006314C9">
        <w:rPr>
          <w:lang w:val="en-GB"/>
        </w:rPr>
        <w:t xml:space="preserve"> Institute for Public Health (IPH) and MTE. The import of PPP </w:t>
      </w:r>
      <w:proofErr w:type="spellStart"/>
      <w:r w:rsidR="00C32A8D" w:rsidRPr="006314C9">
        <w:rPr>
          <w:lang w:val="en-GB"/>
        </w:rPr>
        <w:t>is</w:t>
      </w:r>
      <w:r w:rsidR="00405110" w:rsidRPr="006314C9">
        <w:rPr>
          <w:lang w:val="en-GB"/>
        </w:rPr>
        <w:t>controlled</w:t>
      </w:r>
      <w:proofErr w:type="spellEnd"/>
      <w:r w:rsidR="00405110" w:rsidRPr="006314C9">
        <w:rPr>
          <w:lang w:val="en-GB"/>
        </w:rPr>
        <w:t xml:space="preserve"> by MARD through National Food Agency and has the authority to suspend or prohibi</w:t>
      </w:r>
      <w:r w:rsidR="00C32A8D" w:rsidRPr="006314C9">
        <w:rPr>
          <w:lang w:val="en-GB"/>
        </w:rPr>
        <w:t xml:space="preserve">t </w:t>
      </w:r>
      <w:r w:rsidR="00405110" w:rsidRPr="006314C9">
        <w:rPr>
          <w:lang w:val="en-GB"/>
        </w:rPr>
        <w:t xml:space="preserve">any kind of PPP or fertilizer that does not comply with approved standards. </w:t>
      </w:r>
    </w:p>
    <w:p w:rsidR="00590337" w:rsidRPr="006314C9" w:rsidRDefault="00F3282D">
      <w:pPr>
        <w:rPr>
          <w:rFonts w:cs="Times New Roman"/>
          <w:lang w:val="en-GB"/>
        </w:rPr>
      </w:pPr>
      <w:r w:rsidRPr="006314C9">
        <w:rPr>
          <w:rFonts w:cs="Times New Roman"/>
          <w:lang w:val="en-GB"/>
        </w:rPr>
        <w:t>Despite institutions are perform</w:t>
      </w:r>
      <w:r w:rsidR="008F447A" w:rsidRPr="006314C9">
        <w:rPr>
          <w:rFonts w:cs="Times New Roman"/>
          <w:lang w:val="en-GB"/>
        </w:rPr>
        <w:t>ing</w:t>
      </w:r>
      <w:r w:rsidRPr="006314C9">
        <w:rPr>
          <w:rFonts w:cs="Times New Roman"/>
          <w:lang w:val="en-GB"/>
        </w:rPr>
        <w:t xml:space="preserve"> their functions</w:t>
      </w:r>
      <w:r w:rsidR="008F447A" w:rsidRPr="006314C9">
        <w:rPr>
          <w:rFonts w:cs="Times New Roman"/>
          <w:lang w:val="en-GB"/>
        </w:rPr>
        <w:t>, t</w:t>
      </w:r>
      <w:r w:rsidR="00405110" w:rsidRPr="006314C9">
        <w:rPr>
          <w:rFonts w:cs="Times New Roman"/>
          <w:lang w:val="en-GB"/>
        </w:rPr>
        <w:t xml:space="preserve">he capacity of the above institutions, in particular MHSP and MARD, are not sufficient </w:t>
      </w:r>
      <w:proofErr w:type="spellStart"/>
      <w:r w:rsidRPr="006314C9">
        <w:rPr>
          <w:rFonts w:cs="Times New Roman"/>
          <w:lang w:val="en-GB"/>
        </w:rPr>
        <w:t>to</w:t>
      </w:r>
      <w:r w:rsidR="0024489C" w:rsidRPr="006314C9">
        <w:rPr>
          <w:rFonts w:cs="Times New Roman"/>
          <w:lang w:val="en-GB"/>
        </w:rPr>
        <w:t>efficiently</w:t>
      </w:r>
      <w:proofErr w:type="spellEnd"/>
      <w:r w:rsidR="0024489C" w:rsidRPr="006314C9">
        <w:rPr>
          <w:rFonts w:cs="Times New Roman"/>
          <w:lang w:val="en-GB"/>
        </w:rPr>
        <w:t xml:space="preserve"> implement the whole system of chemicals management. Further strengthening of their capacity is needed, both human and technical, in particular for registration, data recording and reporting, collecting of chemical usage data, characterization and properties, and of the chemicals’ </w:t>
      </w:r>
      <w:r w:rsidR="008F447A" w:rsidRPr="006314C9">
        <w:rPr>
          <w:rFonts w:cs="Times New Roman"/>
          <w:lang w:val="en-GB"/>
        </w:rPr>
        <w:t xml:space="preserve">life </w:t>
      </w:r>
      <w:r w:rsidR="0024489C" w:rsidRPr="006314C9">
        <w:rPr>
          <w:rFonts w:cs="Times New Roman"/>
          <w:lang w:val="en-GB"/>
        </w:rPr>
        <w:t xml:space="preserve">cycle evaluation. </w:t>
      </w:r>
    </w:p>
    <w:p w:rsidR="00590337" w:rsidRPr="006314C9" w:rsidRDefault="00815D28">
      <w:pPr>
        <w:rPr>
          <w:rFonts w:cs="Times New Roman"/>
          <w:lang w:val="en-GB"/>
        </w:rPr>
      </w:pPr>
      <w:r w:rsidRPr="006314C9">
        <w:rPr>
          <w:rFonts w:cs="Times New Roman"/>
          <w:lang w:val="en-GB"/>
        </w:rPr>
        <w:t>Ministry of Infrastructure and Energy- MIE is the competent authority for the licensing of activities related to chemicals classified as dangerous according to the legislation in force</w:t>
      </w:r>
      <w:r w:rsidR="00907ADD" w:rsidRPr="006314C9">
        <w:rPr>
          <w:rFonts w:cs="Times New Roman"/>
          <w:lang w:val="en-GB"/>
        </w:rPr>
        <w:t xml:space="preserve"> and is responsible for issuing of permits for the activities that produce substances and preparations that possess the properties of class 3 (extremely flammable), 4 (very flammable) and 5 (flammable), </w:t>
      </w:r>
      <w:r w:rsidR="008F447A" w:rsidRPr="006314C9">
        <w:rPr>
          <w:rFonts w:cs="Times New Roman"/>
          <w:lang w:val="en-GB"/>
        </w:rPr>
        <w:t xml:space="preserve">including </w:t>
      </w:r>
      <w:r w:rsidR="00907ADD" w:rsidRPr="006314C9">
        <w:rPr>
          <w:rFonts w:cs="Times New Roman"/>
          <w:lang w:val="en-GB"/>
        </w:rPr>
        <w:t>evaluation, testing and their administration.</w:t>
      </w:r>
    </w:p>
    <w:p w:rsidR="00590337" w:rsidRPr="006314C9" w:rsidRDefault="00815D28">
      <w:pPr>
        <w:rPr>
          <w:lang w:val="en-GB"/>
        </w:rPr>
      </w:pPr>
      <w:r w:rsidRPr="006314C9">
        <w:rPr>
          <w:lang w:val="en-GB"/>
        </w:rPr>
        <w:t xml:space="preserve">Anti – Trafficking Directory, Albanian Customs Administration carry out </w:t>
      </w:r>
      <w:r w:rsidR="008F447A" w:rsidRPr="006314C9">
        <w:rPr>
          <w:lang w:val="en-GB"/>
        </w:rPr>
        <w:t xml:space="preserve">control </w:t>
      </w:r>
      <w:r w:rsidRPr="006314C9">
        <w:rPr>
          <w:lang w:val="en-GB"/>
        </w:rPr>
        <w:t>and monitoring of import/ export of hazardous chemicals</w:t>
      </w:r>
      <w:r w:rsidR="009672F4" w:rsidRPr="006314C9">
        <w:rPr>
          <w:lang w:val="en-GB"/>
        </w:rPr>
        <w:t xml:space="preserve">. </w:t>
      </w:r>
    </w:p>
    <w:p w:rsidR="00590337" w:rsidRPr="006314C9" w:rsidRDefault="00907ADD">
      <w:pPr>
        <w:rPr>
          <w:lang w:val="en-GB"/>
        </w:rPr>
      </w:pPr>
      <w:r w:rsidRPr="006314C9">
        <w:rPr>
          <w:lang w:val="en-GB"/>
        </w:rPr>
        <w:t>Environmental Inspectorate, State Sanitary Inspectorate, and State Labo</w:t>
      </w:r>
      <w:r w:rsidR="008F447A" w:rsidRPr="006314C9">
        <w:rPr>
          <w:lang w:val="en-GB"/>
        </w:rPr>
        <w:t>u</w:t>
      </w:r>
      <w:r w:rsidRPr="006314C9">
        <w:rPr>
          <w:lang w:val="en-GB"/>
        </w:rPr>
        <w:t>r Inspectorate are responsible for enforcing the control of all stages of the chemical‘s life cycle.</w:t>
      </w:r>
    </w:p>
    <w:p w:rsidR="00FA4CBE" w:rsidRPr="006314C9" w:rsidRDefault="008F447A" w:rsidP="00FA4CBE">
      <w:pPr>
        <w:rPr>
          <w:rFonts w:cs="Times New Roman"/>
          <w:lang w:val="en-GB"/>
        </w:rPr>
      </w:pPr>
      <w:r w:rsidRPr="006314C9">
        <w:rPr>
          <w:rFonts w:cs="Times New Roman"/>
          <w:lang w:val="en-GB"/>
        </w:rPr>
        <w:t xml:space="preserve">In overall, </w:t>
      </w:r>
      <w:r w:rsidRPr="006314C9">
        <w:rPr>
          <w:lang w:val="en-GB"/>
        </w:rPr>
        <w:t>a</w:t>
      </w:r>
      <w:r w:rsidR="00815D28" w:rsidRPr="006314C9">
        <w:rPr>
          <w:lang w:val="en-GB"/>
        </w:rPr>
        <w:t>dministrative capacit</w:t>
      </w:r>
      <w:r w:rsidRPr="006314C9">
        <w:rPr>
          <w:lang w:val="en-GB"/>
        </w:rPr>
        <w:t xml:space="preserve">ies of involved institutions </w:t>
      </w:r>
      <w:r w:rsidR="00907ADD" w:rsidRPr="006314C9">
        <w:rPr>
          <w:lang w:val="en-GB"/>
        </w:rPr>
        <w:t xml:space="preserve">are </w:t>
      </w:r>
      <w:r w:rsidR="00815D28" w:rsidRPr="006314C9">
        <w:rPr>
          <w:lang w:val="en-GB"/>
        </w:rPr>
        <w:t xml:space="preserve">not sufficient </w:t>
      </w:r>
      <w:r w:rsidR="009672F4" w:rsidRPr="006314C9">
        <w:rPr>
          <w:lang w:val="en-GB"/>
        </w:rPr>
        <w:t>to manage chemicals in Albania</w:t>
      </w:r>
      <w:r w:rsidR="00907ADD" w:rsidRPr="006314C9">
        <w:rPr>
          <w:lang w:val="en-GB"/>
        </w:rPr>
        <w:t xml:space="preserve"> and have to be strengthened</w:t>
      </w:r>
      <w:r w:rsidRPr="006314C9">
        <w:rPr>
          <w:lang w:val="en-GB"/>
        </w:rPr>
        <w:t xml:space="preserve">, </w:t>
      </w:r>
      <w:r w:rsidR="00907ADD" w:rsidRPr="006314C9">
        <w:rPr>
          <w:lang w:val="en-GB"/>
        </w:rPr>
        <w:t>inter institutional coordination and cooperation</w:t>
      </w:r>
      <w:r w:rsidRPr="006314C9">
        <w:rPr>
          <w:lang w:val="en-GB"/>
        </w:rPr>
        <w:t xml:space="preserve"> improved</w:t>
      </w:r>
      <w:r w:rsidR="009672F4" w:rsidRPr="006314C9">
        <w:rPr>
          <w:lang w:val="en-GB"/>
        </w:rPr>
        <w:t xml:space="preserve">. However, situation is expected to be improved </w:t>
      </w:r>
      <w:r w:rsidRPr="006314C9">
        <w:rPr>
          <w:lang w:val="en-GB"/>
        </w:rPr>
        <w:t xml:space="preserve">with the establishment of the Chemical Office and </w:t>
      </w:r>
      <w:r w:rsidR="009672F4" w:rsidRPr="006314C9">
        <w:rPr>
          <w:lang w:val="en-GB"/>
        </w:rPr>
        <w:t xml:space="preserve">with the implementation of the project </w:t>
      </w:r>
      <w:r w:rsidRPr="006314C9">
        <w:rPr>
          <w:lang w:val="en-GB"/>
        </w:rPr>
        <w:t>“</w:t>
      </w:r>
      <w:r w:rsidR="00815D28" w:rsidRPr="006314C9">
        <w:rPr>
          <w:lang w:val="en-GB"/>
        </w:rPr>
        <w:t>Improved chemicals management in Albania</w:t>
      </w:r>
      <w:r w:rsidRPr="006314C9">
        <w:rPr>
          <w:lang w:val="en-GB"/>
        </w:rPr>
        <w:t>”</w:t>
      </w:r>
      <w:r w:rsidR="00815D28" w:rsidRPr="006314C9">
        <w:rPr>
          <w:lang w:val="en-GB"/>
        </w:rPr>
        <w:t xml:space="preserve"> (</w:t>
      </w:r>
      <w:proofErr w:type="spellStart"/>
      <w:r w:rsidR="00815D28" w:rsidRPr="006314C9">
        <w:rPr>
          <w:lang w:val="en-GB"/>
        </w:rPr>
        <w:t>KemI</w:t>
      </w:r>
      <w:proofErr w:type="spellEnd"/>
      <w:r w:rsidR="00815D28" w:rsidRPr="006314C9">
        <w:rPr>
          <w:lang w:val="en-GB"/>
        </w:rPr>
        <w:t xml:space="preserve"> Project), </w:t>
      </w:r>
      <w:proofErr w:type="spellStart"/>
      <w:r w:rsidRPr="006314C9">
        <w:rPr>
          <w:lang w:val="en-GB"/>
        </w:rPr>
        <w:t>whereinstitutional</w:t>
      </w:r>
      <w:proofErr w:type="spellEnd"/>
      <w:r w:rsidRPr="006314C9">
        <w:rPr>
          <w:lang w:val="en-GB"/>
        </w:rPr>
        <w:t xml:space="preserve"> </w:t>
      </w:r>
      <w:r w:rsidR="00815D28" w:rsidRPr="006314C9">
        <w:rPr>
          <w:lang w:val="en-GB"/>
        </w:rPr>
        <w:t xml:space="preserve">capacity development is one of the </w:t>
      </w:r>
      <w:r w:rsidRPr="006314C9">
        <w:rPr>
          <w:lang w:val="en-GB"/>
        </w:rPr>
        <w:t xml:space="preserve">major </w:t>
      </w:r>
      <w:r w:rsidR="00815D28" w:rsidRPr="006314C9">
        <w:rPr>
          <w:lang w:val="en-GB"/>
        </w:rPr>
        <w:t xml:space="preserve">areas of the project </w:t>
      </w:r>
      <w:proofErr w:type="spellStart"/>
      <w:r w:rsidR="00815D28" w:rsidRPr="006314C9">
        <w:rPr>
          <w:lang w:val="en-GB"/>
        </w:rPr>
        <w:t>activities.</w:t>
      </w:r>
      <w:r w:rsidR="00FA4CBE" w:rsidRPr="006314C9">
        <w:rPr>
          <w:rFonts w:cs="Times New Roman"/>
          <w:lang w:val="en-GB"/>
        </w:rPr>
        <w:t>In</w:t>
      </w:r>
      <w:proofErr w:type="spellEnd"/>
      <w:r w:rsidR="00FA4CBE" w:rsidRPr="006314C9">
        <w:rPr>
          <w:rFonts w:cs="Times New Roman"/>
          <w:lang w:val="en-GB"/>
        </w:rPr>
        <w:t xml:space="preserve"> September 2019 a DCM was adopted for the organisational structure of NEA in which Chemical Office was envisaged with NEA structure. However, until this report was prepared Chemical Office was still not established thus clarification of competencies between MTE and NEA is further needed. </w:t>
      </w:r>
    </w:p>
    <w:p w:rsidR="00815D28" w:rsidRPr="006314C9" w:rsidRDefault="00815D28" w:rsidP="00152F5E">
      <w:pPr>
        <w:rPr>
          <w:rFonts w:cs="Times New Roman"/>
          <w:lang w:val="en-GB"/>
        </w:rPr>
      </w:pPr>
      <w:r w:rsidRPr="006314C9">
        <w:rPr>
          <w:rFonts w:cs="Times New Roman"/>
          <w:b/>
          <w:lang w:val="en-GB"/>
        </w:rPr>
        <w:t>Summary</w:t>
      </w:r>
    </w:p>
    <w:tbl>
      <w:tblPr>
        <w:tblStyle w:val="TableGrid"/>
        <w:tblW w:w="5000" w:type="pct"/>
        <w:tblLayout w:type="fixed"/>
        <w:tblLook w:val="04A0"/>
      </w:tblPr>
      <w:tblGrid>
        <w:gridCol w:w="2393"/>
        <w:gridCol w:w="2395"/>
        <w:gridCol w:w="2393"/>
        <w:gridCol w:w="2395"/>
      </w:tblGrid>
      <w:tr w:rsidR="00815D28" w:rsidRPr="006314C9" w:rsidTr="00953D59">
        <w:tc>
          <w:tcPr>
            <w:tcW w:w="2393" w:type="dxa"/>
          </w:tcPr>
          <w:p w:rsidR="00590337" w:rsidRPr="006314C9" w:rsidRDefault="002F0A16">
            <w:pPr>
              <w:jc w:val="center"/>
              <w:rPr>
                <w:rFonts w:cs="Times New Roman"/>
                <w:b/>
                <w:sz w:val="20"/>
                <w:szCs w:val="20"/>
                <w:lang w:val="en-GB"/>
              </w:rPr>
            </w:pPr>
            <w:r w:rsidRPr="006314C9">
              <w:rPr>
                <w:rFonts w:cs="Times New Roman"/>
                <w:b/>
                <w:sz w:val="20"/>
                <w:szCs w:val="20"/>
                <w:lang w:val="en-GB"/>
              </w:rPr>
              <w:t>Directive/regulation</w:t>
            </w:r>
          </w:p>
        </w:tc>
        <w:tc>
          <w:tcPr>
            <w:tcW w:w="2395" w:type="dxa"/>
          </w:tcPr>
          <w:p w:rsidR="00590337" w:rsidRPr="006314C9" w:rsidRDefault="002F0A16">
            <w:pPr>
              <w:jc w:val="center"/>
              <w:rPr>
                <w:rFonts w:cs="Times New Roman"/>
                <w:b/>
                <w:sz w:val="20"/>
                <w:szCs w:val="20"/>
                <w:lang w:val="en-GB"/>
              </w:rPr>
            </w:pPr>
            <w:r w:rsidRPr="006314C9">
              <w:rPr>
                <w:rFonts w:cs="Times New Roman"/>
                <w:b/>
                <w:sz w:val="20"/>
                <w:szCs w:val="20"/>
                <w:lang w:val="en-GB"/>
              </w:rPr>
              <w:t>Main competent authority</w:t>
            </w:r>
          </w:p>
        </w:tc>
        <w:tc>
          <w:tcPr>
            <w:tcW w:w="2393" w:type="dxa"/>
          </w:tcPr>
          <w:p w:rsidR="00590337" w:rsidRPr="006314C9" w:rsidRDefault="002F0A16">
            <w:pPr>
              <w:jc w:val="center"/>
              <w:rPr>
                <w:rFonts w:cs="Times New Roman"/>
                <w:b/>
                <w:sz w:val="20"/>
                <w:szCs w:val="20"/>
                <w:lang w:val="en-GB"/>
              </w:rPr>
            </w:pPr>
            <w:r w:rsidRPr="006314C9">
              <w:rPr>
                <w:rFonts w:cs="Times New Roman"/>
                <w:b/>
                <w:sz w:val="20"/>
                <w:szCs w:val="20"/>
                <w:lang w:val="en-GB"/>
              </w:rPr>
              <w:t>Level of transposition</w:t>
            </w:r>
          </w:p>
        </w:tc>
        <w:tc>
          <w:tcPr>
            <w:tcW w:w="2395" w:type="dxa"/>
          </w:tcPr>
          <w:p w:rsidR="00590337" w:rsidRPr="006314C9" w:rsidRDefault="002F0A16">
            <w:pPr>
              <w:jc w:val="center"/>
              <w:rPr>
                <w:rFonts w:cs="Times New Roman"/>
                <w:b/>
                <w:sz w:val="20"/>
                <w:szCs w:val="20"/>
                <w:lang w:val="en-GB"/>
              </w:rPr>
            </w:pPr>
            <w:r w:rsidRPr="006314C9">
              <w:rPr>
                <w:rFonts w:cs="Times New Roman"/>
                <w:b/>
                <w:sz w:val="20"/>
                <w:szCs w:val="20"/>
                <w:lang w:val="en-GB"/>
              </w:rPr>
              <w:t>Level of implementation</w:t>
            </w:r>
          </w:p>
        </w:tc>
      </w:tr>
      <w:tr w:rsidR="00953D59" w:rsidRPr="006314C9" w:rsidTr="00953D59">
        <w:tc>
          <w:tcPr>
            <w:tcW w:w="2393" w:type="dxa"/>
          </w:tcPr>
          <w:p w:rsidR="00953D59" w:rsidRPr="006314C9" w:rsidRDefault="00953D59" w:rsidP="00EA12A1">
            <w:pPr>
              <w:spacing w:before="60" w:after="60"/>
              <w:contextualSpacing/>
              <w:rPr>
                <w:rFonts w:cs="Times New Roman"/>
                <w:sz w:val="20"/>
                <w:szCs w:val="20"/>
                <w:lang w:val="en-GB"/>
              </w:rPr>
            </w:pPr>
            <w:r w:rsidRPr="006314C9">
              <w:rPr>
                <w:rFonts w:cs="Times New Roman"/>
                <w:sz w:val="20"/>
                <w:szCs w:val="20"/>
                <w:lang w:val="en-GB"/>
              </w:rPr>
              <w:t xml:space="preserve">2010/63/EU </w:t>
            </w:r>
            <w:r w:rsidR="00B95D6A" w:rsidRPr="006314C9">
              <w:rPr>
                <w:rFonts w:cs="Times New Roman"/>
                <w:b/>
                <w:i/>
                <w:sz w:val="20"/>
                <w:szCs w:val="20"/>
                <w:lang w:val="en-GB"/>
              </w:rPr>
              <w:t>Welfare Experimental Animals</w:t>
            </w:r>
          </w:p>
        </w:tc>
        <w:tc>
          <w:tcPr>
            <w:tcW w:w="2395" w:type="dxa"/>
          </w:tcPr>
          <w:p w:rsidR="00953D59" w:rsidRPr="006314C9" w:rsidRDefault="00953D59" w:rsidP="00EA12A1">
            <w:pPr>
              <w:spacing w:before="60" w:after="60"/>
              <w:contextualSpacing/>
              <w:rPr>
                <w:rFonts w:cs="Times New Roman"/>
                <w:sz w:val="20"/>
                <w:szCs w:val="20"/>
                <w:lang w:val="en-GB"/>
              </w:rPr>
            </w:pPr>
            <w:r w:rsidRPr="006314C9">
              <w:rPr>
                <w:rFonts w:cs="Times New Roman"/>
                <w:sz w:val="20"/>
                <w:szCs w:val="20"/>
                <w:lang w:val="en-GB"/>
              </w:rPr>
              <w:t>MARD</w:t>
            </w:r>
            <w:r w:rsidR="009F3D42" w:rsidRPr="006314C9">
              <w:rPr>
                <w:rFonts w:cs="Times New Roman"/>
                <w:sz w:val="20"/>
                <w:szCs w:val="20"/>
                <w:lang w:val="en-GB"/>
              </w:rPr>
              <w:t xml:space="preserve"> (to be clarified with MTE)</w:t>
            </w:r>
          </w:p>
          <w:p w:rsidR="00953D59" w:rsidRPr="006314C9" w:rsidRDefault="00953D59" w:rsidP="00EA12A1">
            <w:pPr>
              <w:keepNext/>
              <w:keepLines/>
              <w:spacing w:before="60" w:after="60"/>
              <w:contextualSpacing/>
              <w:outlineLvl w:val="2"/>
              <w:rPr>
                <w:rFonts w:cs="Times New Roman"/>
                <w:sz w:val="20"/>
                <w:szCs w:val="20"/>
                <w:lang w:val="en-GB"/>
              </w:rPr>
            </w:pPr>
          </w:p>
        </w:tc>
        <w:tc>
          <w:tcPr>
            <w:tcW w:w="2393" w:type="dxa"/>
          </w:tcPr>
          <w:p w:rsidR="00953D59" w:rsidRPr="006314C9" w:rsidRDefault="00953D59" w:rsidP="00EA12A1">
            <w:pPr>
              <w:spacing w:before="60" w:after="60"/>
              <w:contextualSpacing/>
              <w:rPr>
                <w:rFonts w:cs="Times New Roman"/>
                <w:sz w:val="20"/>
                <w:szCs w:val="20"/>
                <w:lang w:val="en-GB"/>
              </w:rPr>
            </w:pPr>
            <w:r w:rsidRPr="006314C9">
              <w:rPr>
                <w:rFonts w:cs="Times New Roman"/>
                <w:sz w:val="20"/>
                <w:szCs w:val="20"/>
                <w:lang w:val="en-GB"/>
              </w:rPr>
              <w:t>Initial stage;</w:t>
            </w:r>
          </w:p>
          <w:p w:rsidR="00953D59" w:rsidRPr="006314C9" w:rsidRDefault="00953D59" w:rsidP="00EA12A1">
            <w:pPr>
              <w:spacing w:before="60" w:after="60"/>
              <w:contextualSpacing/>
              <w:rPr>
                <w:rFonts w:cs="Times New Roman"/>
                <w:sz w:val="20"/>
                <w:szCs w:val="20"/>
                <w:lang w:val="en-GB"/>
              </w:rPr>
            </w:pPr>
            <w:r w:rsidRPr="006314C9">
              <w:rPr>
                <w:rFonts w:cs="Times New Roman"/>
                <w:sz w:val="20"/>
                <w:szCs w:val="20"/>
                <w:lang w:val="en-GB"/>
              </w:rPr>
              <w:t>20 %</w:t>
            </w:r>
          </w:p>
        </w:tc>
        <w:tc>
          <w:tcPr>
            <w:tcW w:w="2395" w:type="dxa"/>
          </w:tcPr>
          <w:p w:rsidR="00953D59" w:rsidRPr="006314C9" w:rsidRDefault="00953D59" w:rsidP="00953D59">
            <w:pPr>
              <w:spacing w:before="60" w:after="60"/>
              <w:contextualSpacing/>
              <w:rPr>
                <w:rFonts w:cs="Times New Roman"/>
                <w:sz w:val="20"/>
                <w:szCs w:val="20"/>
                <w:lang w:val="en-GB"/>
              </w:rPr>
            </w:pPr>
            <w:r w:rsidRPr="006314C9">
              <w:rPr>
                <w:rFonts w:eastAsia="Times New Roman" w:cs="Times New Roman"/>
                <w:color w:val="000000"/>
                <w:sz w:val="20"/>
                <w:szCs w:val="20"/>
                <w:lang w:val="en-GB"/>
              </w:rPr>
              <w:t>Not implemented</w:t>
            </w:r>
          </w:p>
        </w:tc>
      </w:tr>
      <w:tr w:rsidR="00953D59" w:rsidRPr="006314C9" w:rsidTr="00EA12A1">
        <w:tc>
          <w:tcPr>
            <w:tcW w:w="2393" w:type="dxa"/>
          </w:tcPr>
          <w:p w:rsidR="00953D59" w:rsidRPr="006314C9" w:rsidRDefault="00953D59" w:rsidP="00EA12A1">
            <w:pPr>
              <w:spacing w:before="60" w:after="60"/>
              <w:contextualSpacing/>
              <w:jc w:val="left"/>
              <w:rPr>
                <w:rFonts w:cs="Times New Roman"/>
                <w:sz w:val="20"/>
                <w:szCs w:val="20"/>
                <w:lang w:val="en-GB"/>
              </w:rPr>
            </w:pPr>
            <w:r w:rsidRPr="006314C9">
              <w:rPr>
                <w:rFonts w:cs="Times New Roman"/>
                <w:sz w:val="20"/>
                <w:szCs w:val="20"/>
                <w:lang w:val="en-GB"/>
              </w:rPr>
              <w:t xml:space="preserve">87/217/EEC </w:t>
            </w:r>
            <w:r w:rsidR="00B95D6A" w:rsidRPr="006314C9">
              <w:rPr>
                <w:rFonts w:cs="Times New Roman"/>
                <w:b/>
                <w:i/>
                <w:sz w:val="20"/>
                <w:szCs w:val="20"/>
                <w:lang w:val="en-GB"/>
              </w:rPr>
              <w:t>Asbestos</w:t>
            </w:r>
          </w:p>
        </w:tc>
        <w:tc>
          <w:tcPr>
            <w:tcW w:w="2395" w:type="dxa"/>
          </w:tcPr>
          <w:p w:rsidR="00953D59" w:rsidRPr="006314C9" w:rsidRDefault="00B95D6A" w:rsidP="00FA4CBE">
            <w:pPr>
              <w:spacing w:before="60" w:after="60"/>
              <w:contextualSpacing/>
              <w:rPr>
                <w:rFonts w:cs="Times New Roman"/>
                <w:sz w:val="20"/>
                <w:szCs w:val="20"/>
                <w:lang w:val="en-GB"/>
              </w:rPr>
            </w:pPr>
            <w:r w:rsidRPr="006314C9">
              <w:rPr>
                <w:rFonts w:cs="Times New Roman"/>
                <w:sz w:val="20"/>
                <w:szCs w:val="20"/>
                <w:lang w:val="en-GB"/>
              </w:rPr>
              <w:t>MTE</w:t>
            </w:r>
            <w:r w:rsidR="00FA4CBE" w:rsidRPr="006314C9">
              <w:rPr>
                <w:rFonts w:cs="Times New Roman"/>
                <w:sz w:val="20"/>
                <w:szCs w:val="20"/>
                <w:lang w:val="en-GB"/>
              </w:rPr>
              <w:t>(to be clarified with NEA)</w:t>
            </w:r>
          </w:p>
        </w:tc>
        <w:tc>
          <w:tcPr>
            <w:tcW w:w="2393" w:type="dxa"/>
          </w:tcPr>
          <w:p w:rsidR="00953D59" w:rsidRPr="006314C9" w:rsidRDefault="00B95D6A" w:rsidP="00EA12A1">
            <w:pPr>
              <w:spacing w:before="60" w:after="60"/>
              <w:contextualSpacing/>
              <w:rPr>
                <w:rFonts w:cs="Times New Roman"/>
                <w:sz w:val="20"/>
                <w:szCs w:val="20"/>
                <w:lang w:val="en-GB"/>
              </w:rPr>
            </w:pPr>
            <w:r w:rsidRPr="006314C9">
              <w:rPr>
                <w:rFonts w:cs="Times New Roman"/>
                <w:sz w:val="20"/>
                <w:szCs w:val="20"/>
                <w:lang w:val="en-GB"/>
              </w:rPr>
              <w:t>Initial stage;</w:t>
            </w:r>
          </w:p>
          <w:p w:rsidR="00953D59" w:rsidRPr="006314C9" w:rsidRDefault="00B95D6A" w:rsidP="00EA12A1">
            <w:pPr>
              <w:spacing w:before="60" w:after="60"/>
              <w:contextualSpacing/>
              <w:rPr>
                <w:rFonts w:cs="Times New Roman"/>
                <w:sz w:val="20"/>
                <w:szCs w:val="20"/>
                <w:lang w:val="en-GB"/>
              </w:rPr>
            </w:pPr>
            <w:r w:rsidRPr="006314C9">
              <w:rPr>
                <w:rFonts w:cs="Times New Roman"/>
                <w:sz w:val="20"/>
                <w:szCs w:val="20"/>
                <w:lang w:val="en-GB"/>
              </w:rPr>
              <w:t>10</w:t>
            </w:r>
            <w:r w:rsidR="00953D59" w:rsidRPr="006314C9">
              <w:rPr>
                <w:rFonts w:cs="Times New Roman"/>
                <w:sz w:val="20"/>
                <w:szCs w:val="20"/>
                <w:lang w:val="en-GB"/>
              </w:rPr>
              <w:t xml:space="preserve"> % </w:t>
            </w:r>
          </w:p>
        </w:tc>
        <w:tc>
          <w:tcPr>
            <w:tcW w:w="2395" w:type="dxa"/>
          </w:tcPr>
          <w:p w:rsidR="00953D59" w:rsidRPr="006314C9" w:rsidRDefault="00B95D6A" w:rsidP="00EA12A1">
            <w:pPr>
              <w:spacing w:before="60" w:after="60"/>
              <w:contextualSpacing/>
              <w:rPr>
                <w:rFonts w:cs="Times New Roman"/>
                <w:sz w:val="20"/>
                <w:szCs w:val="20"/>
                <w:lang w:val="en-GB"/>
              </w:rPr>
            </w:pPr>
            <w:r w:rsidRPr="006314C9">
              <w:rPr>
                <w:rFonts w:eastAsia="Times New Roman" w:cs="Times New Roman"/>
                <w:color w:val="000000"/>
                <w:sz w:val="20"/>
                <w:szCs w:val="20"/>
                <w:lang w:val="en-GB"/>
              </w:rPr>
              <w:t>Not implemented</w:t>
            </w:r>
          </w:p>
        </w:tc>
      </w:tr>
      <w:tr w:rsidR="00953D59" w:rsidRPr="006314C9" w:rsidTr="00EA12A1">
        <w:tc>
          <w:tcPr>
            <w:tcW w:w="2393" w:type="dxa"/>
          </w:tcPr>
          <w:p w:rsidR="00953D59" w:rsidRPr="006314C9" w:rsidRDefault="00953D59" w:rsidP="00EA12A1">
            <w:pPr>
              <w:spacing w:before="60" w:after="60"/>
              <w:contextualSpacing/>
              <w:rPr>
                <w:rFonts w:cs="Times New Roman"/>
                <w:sz w:val="20"/>
                <w:szCs w:val="20"/>
                <w:lang w:val="en-GB"/>
              </w:rPr>
            </w:pPr>
            <w:r w:rsidRPr="006314C9">
              <w:rPr>
                <w:rFonts w:cs="Times New Roman"/>
                <w:sz w:val="20"/>
                <w:szCs w:val="20"/>
                <w:lang w:val="en-GB"/>
              </w:rPr>
              <w:t xml:space="preserve">528/2012/EU </w:t>
            </w:r>
            <w:r w:rsidR="00B95D6A" w:rsidRPr="006314C9">
              <w:rPr>
                <w:rFonts w:cs="Times New Roman"/>
                <w:b/>
                <w:i/>
                <w:sz w:val="20"/>
                <w:szCs w:val="20"/>
                <w:lang w:val="en-GB"/>
              </w:rPr>
              <w:t>Biocides</w:t>
            </w:r>
          </w:p>
        </w:tc>
        <w:tc>
          <w:tcPr>
            <w:tcW w:w="2395" w:type="dxa"/>
          </w:tcPr>
          <w:p w:rsidR="00953D59" w:rsidRPr="006314C9" w:rsidRDefault="00953D59" w:rsidP="003815D2">
            <w:pPr>
              <w:spacing w:before="60" w:after="60"/>
              <w:contextualSpacing/>
              <w:rPr>
                <w:rFonts w:cs="Times New Roman"/>
                <w:sz w:val="20"/>
                <w:szCs w:val="20"/>
                <w:lang w:val="en-GB"/>
              </w:rPr>
            </w:pPr>
            <w:r w:rsidRPr="006314C9">
              <w:rPr>
                <w:rFonts w:cs="Times New Roman"/>
                <w:sz w:val="20"/>
                <w:szCs w:val="20"/>
                <w:lang w:val="en-GB"/>
              </w:rPr>
              <w:t>MHSA</w:t>
            </w:r>
          </w:p>
        </w:tc>
        <w:tc>
          <w:tcPr>
            <w:tcW w:w="2393" w:type="dxa"/>
          </w:tcPr>
          <w:p w:rsidR="00953D59" w:rsidRPr="006314C9" w:rsidRDefault="00953D59" w:rsidP="00EA12A1">
            <w:pPr>
              <w:spacing w:before="60" w:after="60"/>
              <w:contextualSpacing/>
              <w:rPr>
                <w:rFonts w:cs="Times New Roman"/>
                <w:sz w:val="20"/>
                <w:szCs w:val="20"/>
                <w:lang w:val="en-GB"/>
              </w:rPr>
            </w:pPr>
            <w:r w:rsidRPr="006314C9">
              <w:rPr>
                <w:rFonts w:cs="Times New Roman"/>
                <w:sz w:val="20"/>
                <w:szCs w:val="20"/>
                <w:lang w:val="en-GB"/>
              </w:rPr>
              <w:t xml:space="preserve">Initial stage; </w:t>
            </w:r>
          </w:p>
          <w:p w:rsidR="00953D59" w:rsidRPr="006314C9" w:rsidRDefault="00953D59" w:rsidP="00EA12A1">
            <w:pPr>
              <w:spacing w:before="60" w:after="60"/>
              <w:contextualSpacing/>
              <w:rPr>
                <w:rFonts w:cs="Times New Roman"/>
                <w:sz w:val="20"/>
                <w:szCs w:val="20"/>
                <w:lang w:val="en-GB"/>
              </w:rPr>
            </w:pPr>
            <w:r w:rsidRPr="006314C9">
              <w:rPr>
                <w:rFonts w:cs="Times New Roman"/>
                <w:sz w:val="20"/>
                <w:szCs w:val="20"/>
                <w:lang w:val="en-GB"/>
              </w:rPr>
              <w:t xml:space="preserve">9 % </w:t>
            </w:r>
          </w:p>
        </w:tc>
        <w:tc>
          <w:tcPr>
            <w:tcW w:w="2395" w:type="dxa"/>
          </w:tcPr>
          <w:p w:rsidR="00953D59" w:rsidRPr="006314C9" w:rsidRDefault="00953D59" w:rsidP="00EA12A1">
            <w:pPr>
              <w:spacing w:before="60" w:after="60"/>
              <w:contextualSpacing/>
              <w:rPr>
                <w:rFonts w:cs="Times New Roman"/>
                <w:sz w:val="20"/>
                <w:szCs w:val="20"/>
                <w:lang w:val="en-GB"/>
              </w:rPr>
            </w:pPr>
            <w:r w:rsidRPr="006314C9">
              <w:rPr>
                <w:rFonts w:cs="Times New Roman"/>
                <w:sz w:val="20"/>
                <w:szCs w:val="20"/>
                <w:lang w:val="en-GB"/>
              </w:rPr>
              <w:t>Initial stage</w:t>
            </w:r>
          </w:p>
        </w:tc>
      </w:tr>
      <w:tr w:rsidR="00953D59" w:rsidRPr="006314C9" w:rsidTr="00EA12A1">
        <w:tc>
          <w:tcPr>
            <w:tcW w:w="2393" w:type="dxa"/>
          </w:tcPr>
          <w:p w:rsidR="00953D59" w:rsidRPr="006314C9" w:rsidRDefault="00953D59" w:rsidP="00EA12A1">
            <w:pPr>
              <w:spacing w:before="60" w:after="60"/>
              <w:contextualSpacing/>
              <w:jc w:val="left"/>
              <w:rPr>
                <w:rFonts w:cs="Times New Roman"/>
                <w:sz w:val="20"/>
                <w:szCs w:val="20"/>
                <w:lang w:val="en-GB"/>
              </w:rPr>
            </w:pPr>
            <w:r w:rsidRPr="006314C9">
              <w:rPr>
                <w:rFonts w:cs="Times New Roman"/>
                <w:sz w:val="20"/>
                <w:szCs w:val="20"/>
                <w:lang w:val="en-GB"/>
              </w:rPr>
              <w:t xml:space="preserve"> EC/649/2012 </w:t>
            </w:r>
            <w:r w:rsidR="00B95D6A" w:rsidRPr="006314C9">
              <w:rPr>
                <w:rFonts w:cs="Times New Roman"/>
                <w:b/>
                <w:i/>
                <w:sz w:val="20"/>
                <w:szCs w:val="20"/>
                <w:lang w:val="en-GB"/>
              </w:rPr>
              <w:t>PIC regulation</w:t>
            </w:r>
          </w:p>
        </w:tc>
        <w:tc>
          <w:tcPr>
            <w:tcW w:w="2395" w:type="dxa"/>
          </w:tcPr>
          <w:p w:rsidR="00953D59" w:rsidRPr="006314C9" w:rsidRDefault="00B95D6A" w:rsidP="00EA12A1">
            <w:pPr>
              <w:spacing w:before="60" w:after="60"/>
              <w:contextualSpacing/>
              <w:rPr>
                <w:rFonts w:cs="Times New Roman"/>
                <w:sz w:val="20"/>
                <w:szCs w:val="20"/>
                <w:lang w:val="en-GB"/>
              </w:rPr>
            </w:pPr>
            <w:r w:rsidRPr="006314C9">
              <w:rPr>
                <w:rFonts w:cs="Times New Roman"/>
                <w:sz w:val="20"/>
                <w:szCs w:val="20"/>
                <w:lang w:val="en-GB"/>
              </w:rPr>
              <w:t>MTE</w:t>
            </w:r>
            <w:r w:rsidR="00FA4CBE" w:rsidRPr="006314C9">
              <w:rPr>
                <w:rFonts w:cs="Times New Roman"/>
                <w:sz w:val="20"/>
                <w:szCs w:val="20"/>
                <w:lang w:val="en-GB"/>
              </w:rPr>
              <w:t xml:space="preserve"> (to be clarified with NEA)</w:t>
            </w:r>
          </w:p>
        </w:tc>
        <w:tc>
          <w:tcPr>
            <w:tcW w:w="2393" w:type="dxa"/>
          </w:tcPr>
          <w:p w:rsidR="00953D59" w:rsidRPr="006314C9" w:rsidRDefault="00B95D6A" w:rsidP="00EA12A1">
            <w:pPr>
              <w:spacing w:before="60" w:after="60"/>
              <w:contextualSpacing/>
              <w:rPr>
                <w:rFonts w:cs="Times New Roman"/>
                <w:sz w:val="20"/>
                <w:szCs w:val="20"/>
                <w:lang w:val="en-GB"/>
              </w:rPr>
            </w:pPr>
            <w:r w:rsidRPr="006314C9">
              <w:rPr>
                <w:rFonts w:cs="Times New Roman"/>
                <w:sz w:val="20"/>
                <w:szCs w:val="20"/>
                <w:lang w:val="en-GB"/>
              </w:rPr>
              <w:t>Fully transposed</w:t>
            </w:r>
          </w:p>
          <w:p w:rsidR="00953D59" w:rsidRPr="006314C9" w:rsidRDefault="00B95D6A" w:rsidP="00EA12A1">
            <w:pPr>
              <w:spacing w:before="60" w:after="60"/>
              <w:contextualSpacing/>
              <w:rPr>
                <w:rFonts w:cs="Times New Roman"/>
                <w:sz w:val="20"/>
                <w:szCs w:val="20"/>
                <w:lang w:val="en-GB"/>
              </w:rPr>
            </w:pPr>
            <w:r w:rsidRPr="006314C9">
              <w:rPr>
                <w:rFonts w:cs="Times New Roman"/>
                <w:sz w:val="20"/>
                <w:szCs w:val="20"/>
                <w:lang w:val="en-GB"/>
              </w:rPr>
              <w:t>96 %</w:t>
            </w:r>
          </w:p>
        </w:tc>
        <w:tc>
          <w:tcPr>
            <w:tcW w:w="2395" w:type="dxa"/>
          </w:tcPr>
          <w:p w:rsidR="00953D59" w:rsidRPr="006314C9" w:rsidRDefault="00953D59" w:rsidP="00EA12A1">
            <w:pPr>
              <w:spacing w:before="60" w:after="60"/>
              <w:contextualSpacing/>
              <w:rPr>
                <w:rFonts w:cs="Times New Roman"/>
                <w:sz w:val="20"/>
                <w:szCs w:val="20"/>
                <w:lang w:val="en-GB"/>
              </w:rPr>
            </w:pPr>
            <w:r w:rsidRPr="006314C9">
              <w:rPr>
                <w:rFonts w:cs="Times New Roman"/>
                <w:sz w:val="20"/>
                <w:szCs w:val="20"/>
                <w:lang w:val="en-GB"/>
              </w:rPr>
              <w:t>Partly implemented</w:t>
            </w:r>
          </w:p>
        </w:tc>
      </w:tr>
      <w:tr w:rsidR="00815D28" w:rsidRPr="006314C9" w:rsidTr="00953D59">
        <w:tc>
          <w:tcPr>
            <w:tcW w:w="2393" w:type="dxa"/>
          </w:tcPr>
          <w:p w:rsidR="00590337" w:rsidRPr="006314C9" w:rsidRDefault="00121BBC" w:rsidP="00121BBC">
            <w:pPr>
              <w:spacing w:before="60" w:after="60"/>
              <w:contextualSpacing/>
              <w:jc w:val="left"/>
              <w:rPr>
                <w:rFonts w:cs="Times New Roman"/>
                <w:sz w:val="20"/>
                <w:szCs w:val="20"/>
                <w:lang w:val="en-GB"/>
              </w:rPr>
            </w:pPr>
            <w:r w:rsidRPr="006314C9">
              <w:rPr>
                <w:rFonts w:cs="Times New Roman"/>
                <w:sz w:val="20"/>
                <w:szCs w:val="20"/>
                <w:lang w:val="en-GB"/>
              </w:rPr>
              <w:t xml:space="preserve">EC/ </w:t>
            </w:r>
            <w:r w:rsidR="002F0A16" w:rsidRPr="006314C9">
              <w:rPr>
                <w:rFonts w:cs="Times New Roman"/>
                <w:sz w:val="20"/>
                <w:szCs w:val="20"/>
                <w:lang w:val="en-GB"/>
              </w:rPr>
              <w:t xml:space="preserve">1907/2006 - </w:t>
            </w:r>
            <w:r w:rsidR="00B95D6A" w:rsidRPr="006314C9">
              <w:rPr>
                <w:rFonts w:cs="Times New Roman"/>
                <w:b/>
                <w:i/>
                <w:sz w:val="20"/>
                <w:szCs w:val="20"/>
                <w:lang w:val="en-GB"/>
              </w:rPr>
              <w:t>REACH</w:t>
            </w:r>
          </w:p>
        </w:tc>
        <w:tc>
          <w:tcPr>
            <w:tcW w:w="2395" w:type="dxa"/>
          </w:tcPr>
          <w:p w:rsidR="00815D28" w:rsidRPr="006314C9" w:rsidRDefault="002F0A16" w:rsidP="00965EC3">
            <w:pPr>
              <w:spacing w:before="60" w:after="60"/>
              <w:contextualSpacing/>
              <w:rPr>
                <w:rFonts w:cs="Times New Roman"/>
                <w:sz w:val="20"/>
                <w:szCs w:val="20"/>
                <w:lang w:val="en-GB"/>
              </w:rPr>
            </w:pPr>
            <w:r w:rsidRPr="006314C9">
              <w:rPr>
                <w:rFonts w:cs="Times New Roman"/>
                <w:sz w:val="20"/>
                <w:szCs w:val="20"/>
                <w:lang w:val="en-GB"/>
              </w:rPr>
              <w:t>MTE</w:t>
            </w:r>
            <w:r w:rsidR="00FA4CBE" w:rsidRPr="006314C9">
              <w:rPr>
                <w:rFonts w:cs="Times New Roman"/>
                <w:sz w:val="20"/>
                <w:szCs w:val="20"/>
                <w:lang w:val="en-GB"/>
              </w:rPr>
              <w:t xml:space="preserve"> (to be clarified with NEA)</w:t>
            </w:r>
          </w:p>
          <w:p w:rsidR="00815D28" w:rsidRPr="006314C9" w:rsidRDefault="00815D28" w:rsidP="00965EC3">
            <w:pPr>
              <w:keepNext/>
              <w:keepLines/>
              <w:spacing w:before="60" w:after="60"/>
              <w:contextualSpacing/>
              <w:outlineLvl w:val="2"/>
              <w:rPr>
                <w:rFonts w:cs="Times New Roman"/>
                <w:sz w:val="20"/>
                <w:szCs w:val="20"/>
                <w:lang w:val="en-GB"/>
              </w:rPr>
            </w:pPr>
          </w:p>
        </w:tc>
        <w:tc>
          <w:tcPr>
            <w:tcW w:w="2393" w:type="dxa"/>
          </w:tcPr>
          <w:p w:rsidR="00965EC3" w:rsidRPr="006314C9" w:rsidRDefault="00B95D6A" w:rsidP="00965EC3">
            <w:pPr>
              <w:spacing w:before="60" w:after="60"/>
              <w:contextualSpacing/>
              <w:rPr>
                <w:rFonts w:cs="Times New Roman"/>
                <w:sz w:val="20"/>
                <w:szCs w:val="20"/>
                <w:lang w:val="en-GB"/>
              </w:rPr>
            </w:pPr>
            <w:r w:rsidRPr="006314C9">
              <w:rPr>
                <w:rFonts w:cs="Times New Roman"/>
                <w:sz w:val="20"/>
                <w:szCs w:val="20"/>
                <w:lang w:val="en-GB"/>
              </w:rPr>
              <w:t>Initial stage;</w:t>
            </w:r>
          </w:p>
          <w:p w:rsidR="00590337" w:rsidRPr="006314C9" w:rsidRDefault="00B95D6A">
            <w:pPr>
              <w:spacing w:before="60" w:after="60"/>
              <w:contextualSpacing/>
              <w:rPr>
                <w:rFonts w:cs="Times New Roman"/>
                <w:sz w:val="20"/>
                <w:szCs w:val="20"/>
                <w:lang w:val="en-GB"/>
              </w:rPr>
            </w:pPr>
            <w:r w:rsidRPr="006314C9">
              <w:rPr>
                <w:rFonts w:cs="Times New Roman"/>
                <w:sz w:val="20"/>
                <w:szCs w:val="20"/>
                <w:lang w:val="en-GB"/>
              </w:rPr>
              <w:t>20</w:t>
            </w:r>
            <w:r w:rsidR="002F0A16" w:rsidRPr="006314C9">
              <w:rPr>
                <w:rFonts w:cs="Times New Roman"/>
                <w:sz w:val="20"/>
                <w:szCs w:val="20"/>
                <w:lang w:val="en-GB"/>
              </w:rPr>
              <w:t xml:space="preserve"> %</w:t>
            </w:r>
          </w:p>
        </w:tc>
        <w:tc>
          <w:tcPr>
            <w:tcW w:w="2395" w:type="dxa"/>
          </w:tcPr>
          <w:p w:rsidR="00590337" w:rsidRPr="006314C9" w:rsidRDefault="00953D59">
            <w:pPr>
              <w:spacing w:before="60" w:after="60"/>
              <w:contextualSpacing/>
              <w:rPr>
                <w:rFonts w:cs="Times New Roman"/>
                <w:sz w:val="20"/>
                <w:szCs w:val="20"/>
                <w:lang w:val="en-GB"/>
              </w:rPr>
            </w:pPr>
            <w:r w:rsidRPr="006314C9">
              <w:rPr>
                <w:rFonts w:cs="Times New Roman"/>
                <w:sz w:val="20"/>
                <w:szCs w:val="20"/>
                <w:lang w:val="en-GB"/>
              </w:rPr>
              <w:t>Initial stage</w:t>
            </w:r>
          </w:p>
        </w:tc>
      </w:tr>
      <w:tr w:rsidR="00815D28" w:rsidRPr="006314C9" w:rsidTr="00953D59">
        <w:tc>
          <w:tcPr>
            <w:tcW w:w="2393" w:type="dxa"/>
            <w:shd w:val="clear" w:color="auto" w:fill="auto"/>
          </w:tcPr>
          <w:p w:rsidR="00590337" w:rsidRPr="006314C9" w:rsidRDefault="002F0A16" w:rsidP="00121BBC">
            <w:pPr>
              <w:spacing w:before="60" w:after="60"/>
              <w:contextualSpacing/>
              <w:jc w:val="left"/>
              <w:rPr>
                <w:rFonts w:cs="Times New Roman"/>
                <w:sz w:val="20"/>
                <w:szCs w:val="20"/>
                <w:lang w:val="en-GB"/>
              </w:rPr>
            </w:pPr>
            <w:r w:rsidRPr="006314C9">
              <w:rPr>
                <w:rFonts w:cs="Times New Roman"/>
                <w:sz w:val="20"/>
                <w:szCs w:val="20"/>
                <w:lang w:val="en-GB"/>
              </w:rPr>
              <w:t xml:space="preserve">Regulation </w:t>
            </w:r>
            <w:r w:rsidR="00B95D6A" w:rsidRPr="006314C9">
              <w:rPr>
                <w:rFonts w:cs="Times New Roman"/>
                <w:sz w:val="20"/>
                <w:szCs w:val="20"/>
                <w:lang w:val="en-GB"/>
              </w:rPr>
              <w:t xml:space="preserve">EC 1272/2008 </w:t>
            </w:r>
            <w:r w:rsidR="00B95D6A" w:rsidRPr="006314C9">
              <w:rPr>
                <w:rFonts w:cs="Times New Roman"/>
                <w:b/>
                <w:i/>
                <w:sz w:val="20"/>
                <w:szCs w:val="20"/>
                <w:lang w:val="en-GB"/>
              </w:rPr>
              <w:lastRenderedPageBreak/>
              <w:t>CLP</w:t>
            </w:r>
          </w:p>
        </w:tc>
        <w:tc>
          <w:tcPr>
            <w:tcW w:w="2395" w:type="dxa"/>
            <w:shd w:val="clear" w:color="auto" w:fill="auto"/>
          </w:tcPr>
          <w:p w:rsidR="00815D28" w:rsidRPr="006314C9" w:rsidRDefault="00B95D6A" w:rsidP="00965EC3">
            <w:pPr>
              <w:spacing w:before="60" w:after="60"/>
              <w:contextualSpacing/>
              <w:rPr>
                <w:rFonts w:cs="Times New Roman"/>
                <w:sz w:val="20"/>
                <w:szCs w:val="20"/>
                <w:lang w:val="en-GB"/>
              </w:rPr>
            </w:pPr>
            <w:r w:rsidRPr="006314C9">
              <w:rPr>
                <w:rFonts w:cs="Times New Roman"/>
                <w:sz w:val="20"/>
                <w:szCs w:val="20"/>
                <w:lang w:val="en-GB"/>
              </w:rPr>
              <w:lastRenderedPageBreak/>
              <w:t>MTE</w:t>
            </w:r>
            <w:r w:rsidR="00FA4CBE" w:rsidRPr="006314C9">
              <w:rPr>
                <w:rFonts w:cs="Times New Roman"/>
                <w:sz w:val="20"/>
                <w:szCs w:val="20"/>
                <w:lang w:val="en-GB"/>
              </w:rPr>
              <w:t xml:space="preserve"> (to be clarified with </w:t>
            </w:r>
            <w:r w:rsidR="00FA4CBE" w:rsidRPr="006314C9">
              <w:rPr>
                <w:rFonts w:cs="Times New Roman"/>
                <w:sz w:val="20"/>
                <w:szCs w:val="20"/>
                <w:lang w:val="en-GB"/>
              </w:rPr>
              <w:lastRenderedPageBreak/>
              <w:t>NEA)</w:t>
            </w:r>
          </w:p>
        </w:tc>
        <w:tc>
          <w:tcPr>
            <w:tcW w:w="2393" w:type="dxa"/>
            <w:shd w:val="clear" w:color="auto" w:fill="auto"/>
          </w:tcPr>
          <w:p w:rsidR="00965EC3" w:rsidRPr="006314C9" w:rsidRDefault="00B95D6A" w:rsidP="00965EC3">
            <w:pPr>
              <w:spacing w:before="60" w:after="60"/>
              <w:contextualSpacing/>
              <w:rPr>
                <w:rFonts w:cs="Times New Roman"/>
                <w:sz w:val="20"/>
                <w:szCs w:val="20"/>
                <w:lang w:val="en-GB"/>
              </w:rPr>
            </w:pPr>
            <w:r w:rsidRPr="006314C9">
              <w:rPr>
                <w:rFonts w:cs="Times New Roman"/>
                <w:sz w:val="20"/>
                <w:szCs w:val="20"/>
                <w:lang w:val="en-GB"/>
              </w:rPr>
              <w:lastRenderedPageBreak/>
              <w:t>Partially;</w:t>
            </w:r>
          </w:p>
          <w:p w:rsidR="00590337" w:rsidRPr="006314C9" w:rsidRDefault="00B95D6A">
            <w:pPr>
              <w:spacing w:before="60" w:after="60"/>
              <w:contextualSpacing/>
              <w:rPr>
                <w:rFonts w:cs="Times New Roman"/>
                <w:sz w:val="20"/>
                <w:szCs w:val="20"/>
                <w:lang w:val="en-GB"/>
              </w:rPr>
            </w:pPr>
            <w:r w:rsidRPr="006314C9">
              <w:rPr>
                <w:rFonts w:cs="Times New Roman"/>
                <w:sz w:val="20"/>
                <w:szCs w:val="20"/>
                <w:lang w:val="en-GB"/>
              </w:rPr>
              <w:lastRenderedPageBreak/>
              <w:t xml:space="preserve">41 % </w:t>
            </w:r>
          </w:p>
        </w:tc>
        <w:tc>
          <w:tcPr>
            <w:tcW w:w="2395" w:type="dxa"/>
            <w:shd w:val="clear" w:color="auto" w:fill="auto"/>
          </w:tcPr>
          <w:p w:rsidR="00590337" w:rsidRPr="006314C9" w:rsidRDefault="00B95D6A">
            <w:pPr>
              <w:spacing w:before="60" w:after="60"/>
              <w:contextualSpacing/>
              <w:rPr>
                <w:rFonts w:cs="Times New Roman"/>
                <w:sz w:val="20"/>
                <w:szCs w:val="20"/>
                <w:lang w:val="en-GB"/>
              </w:rPr>
            </w:pPr>
            <w:r w:rsidRPr="006314C9">
              <w:rPr>
                <w:rFonts w:cs="Times New Roman"/>
                <w:sz w:val="20"/>
                <w:szCs w:val="20"/>
                <w:lang w:val="en-GB"/>
              </w:rPr>
              <w:lastRenderedPageBreak/>
              <w:t>Initial stage</w:t>
            </w:r>
          </w:p>
        </w:tc>
      </w:tr>
      <w:tr w:rsidR="00815D28" w:rsidRPr="006314C9" w:rsidTr="00953D59">
        <w:tc>
          <w:tcPr>
            <w:tcW w:w="2393" w:type="dxa"/>
            <w:shd w:val="clear" w:color="auto" w:fill="auto"/>
          </w:tcPr>
          <w:p w:rsidR="00590337" w:rsidRPr="006314C9" w:rsidRDefault="00B95D6A" w:rsidP="00121BBC">
            <w:pPr>
              <w:spacing w:before="60" w:after="60"/>
              <w:contextualSpacing/>
              <w:rPr>
                <w:rFonts w:cs="Times New Roman"/>
                <w:sz w:val="20"/>
                <w:szCs w:val="20"/>
                <w:lang w:val="en-GB"/>
              </w:rPr>
            </w:pPr>
            <w:r w:rsidRPr="006314C9">
              <w:rPr>
                <w:rFonts w:cs="Times New Roman"/>
                <w:sz w:val="20"/>
                <w:szCs w:val="20"/>
                <w:lang w:val="en-GB"/>
              </w:rPr>
              <w:lastRenderedPageBreak/>
              <w:t>EU/2017/</w:t>
            </w:r>
            <w:r w:rsidR="002F0A16" w:rsidRPr="006314C9">
              <w:rPr>
                <w:rFonts w:cs="Times New Roman"/>
                <w:sz w:val="20"/>
                <w:szCs w:val="20"/>
                <w:lang w:val="en-GB"/>
              </w:rPr>
              <w:t>852 </w:t>
            </w:r>
            <w:r w:rsidRPr="006314C9">
              <w:rPr>
                <w:rFonts w:cs="Times New Roman"/>
                <w:b/>
                <w:i/>
                <w:sz w:val="20"/>
                <w:szCs w:val="20"/>
                <w:lang w:val="en-GB"/>
              </w:rPr>
              <w:t>Mercury</w:t>
            </w:r>
          </w:p>
        </w:tc>
        <w:tc>
          <w:tcPr>
            <w:tcW w:w="2395" w:type="dxa"/>
            <w:shd w:val="clear" w:color="auto" w:fill="auto"/>
          </w:tcPr>
          <w:p w:rsidR="00815D28" w:rsidRPr="006314C9" w:rsidRDefault="00B95D6A" w:rsidP="00965EC3">
            <w:pPr>
              <w:spacing w:before="60" w:after="60"/>
              <w:contextualSpacing/>
              <w:rPr>
                <w:rFonts w:cs="Times New Roman"/>
                <w:sz w:val="20"/>
                <w:szCs w:val="20"/>
                <w:lang w:val="en-GB"/>
              </w:rPr>
            </w:pPr>
            <w:r w:rsidRPr="006314C9">
              <w:rPr>
                <w:rFonts w:cs="Times New Roman"/>
                <w:sz w:val="20"/>
                <w:szCs w:val="20"/>
                <w:lang w:val="en-GB"/>
              </w:rPr>
              <w:t>MTE</w:t>
            </w:r>
            <w:r w:rsidR="00FA4CBE" w:rsidRPr="006314C9">
              <w:rPr>
                <w:rFonts w:cs="Times New Roman"/>
                <w:sz w:val="20"/>
                <w:szCs w:val="20"/>
                <w:lang w:val="en-GB"/>
              </w:rPr>
              <w:t xml:space="preserve"> (to be clarified with NEA)</w:t>
            </w:r>
          </w:p>
        </w:tc>
        <w:tc>
          <w:tcPr>
            <w:tcW w:w="2393" w:type="dxa"/>
            <w:shd w:val="clear" w:color="auto" w:fill="auto"/>
          </w:tcPr>
          <w:p w:rsidR="00590337" w:rsidRPr="006314C9" w:rsidRDefault="00B95D6A">
            <w:pPr>
              <w:spacing w:before="60" w:after="60"/>
              <w:contextualSpacing/>
              <w:rPr>
                <w:rFonts w:cs="Times New Roman"/>
                <w:sz w:val="20"/>
                <w:szCs w:val="20"/>
                <w:lang w:val="en-GB"/>
              </w:rPr>
            </w:pPr>
            <w:r w:rsidRPr="006314C9">
              <w:rPr>
                <w:rFonts w:cs="Times New Roman"/>
                <w:sz w:val="20"/>
                <w:szCs w:val="20"/>
                <w:lang w:val="en-GB"/>
              </w:rPr>
              <w:t xml:space="preserve">Initial stage; </w:t>
            </w:r>
          </w:p>
          <w:p w:rsidR="00590337" w:rsidRPr="006314C9" w:rsidRDefault="00B95D6A">
            <w:pPr>
              <w:spacing w:before="60" w:after="60"/>
              <w:contextualSpacing/>
              <w:rPr>
                <w:rFonts w:cs="Times New Roman"/>
                <w:sz w:val="20"/>
                <w:szCs w:val="20"/>
                <w:lang w:val="en-GB"/>
              </w:rPr>
            </w:pPr>
            <w:r w:rsidRPr="006314C9">
              <w:rPr>
                <w:rFonts w:cs="Times New Roman"/>
                <w:sz w:val="20"/>
                <w:szCs w:val="20"/>
                <w:lang w:val="en-GB"/>
              </w:rPr>
              <w:t>10</w:t>
            </w:r>
            <w:r w:rsidR="002F0A16" w:rsidRPr="006314C9">
              <w:rPr>
                <w:rFonts w:cs="Times New Roman"/>
                <w:sz w:val="20"/>
                <w:szCs w:val="20"/>
                <w:lang w:val="en-GB"/>
              </w:rPr>
              <w:t xml:space="preserve"> % </w:t>
            </w:r>
          </w:p>
        </w:tc>
        <w:tc>
          <w:tcPr>
            <w:tcW w:w="2395" w:type="dxa"/>
            <w:shd w:val="clear" w:color="auto" w:fill="auto"/>
          </w:tcPr>
          <w:p w:rsidR="00590337" w:rsidRPr="006314C9" w:rsidRDefault="00B95D6A">
            <w:pPr>
              <w:spacing w:before="60" w:after="60"/>
              <w:contextualSpacing/>
              <w:rPr>
                <w:rFonts w:cs="Times New Roman"/>
                <w:sz w:val="20"/>
                <w:szCs w:val="20"/>
                <w:lang w:val="en-GB"/>
              </w:rPr>
            </w:pPr>
            <w:r w:rsidRPr="006314C9">
              <w:rPr>
                <w:rFonts w:cs="Times New Roman"/>
                <w:sz w:val="20"/>
                <w:szCs w:val="20"/>
                <w:lang w:val="en-GB"/>
              </w:rPr>
              <w:t>Initial stage</w:t>
            </w:r>
          </w:p>
        </w:tc>
      </w:tr>
    </w:tbl>
    <w:p w:rsidR="00590337" w:rsidRPr="006314C9" w:rsidRDefault="00590337">
      <w:pPr>
        <w:rPr>
          <w:lang w:val="en-GB"/>
        </w:rPr>
      </w:pPr>
    </w:p>
    <w:p w:rsidR="00422F98" w:rsidRPr="006314C9" w:rsidRDefault="00422F98" w:rsidP="00B27FEA">
      <w:pPr>
        <w:pStyle w:val="Heading1"/>
        <w:numPr>
          <w:ilvl w:val="0"/>
          <w:numId w:val="0"/>
        </w:numPr>
        <w:suppressAutoHyphens/>
        <w:ind w:left="360"/>
        <w:jc w:val="center"/>
        <w:rPr>
          <w:rFonts w:cs="Times New Roman"/>
          <w:szCs w:val="22"/>
          <w:lang w:val="en-GB"/>
        </w:rPr>
      </w:pPr>
      <w:bookmarkStart w:id="21" w:name="_Toc24031515"/>
      <w:r w:rsidRPr="006314C9">
        <w:rPr>
          <w:rFonts w:eastAsiaTheme="minorEastAsia" w:cs="Times New Roman"/>
          <w:color w:val="auto"/>
          <w:szCs w:val="22"/>
          <w:lang w:val="en-GB"/>
        </w:rPr>
        <w:t xml:space="preserve">Sub Chapter: </w:t>
      </w:r>
      <w:r w:rsidRPr="006314C9">
        <w:rPr>
          <w:rFonts w:cs="Times New Roman"/>
          <w:szCs w:val="22"/>
          <w:lang w:val="en-GB"/>
        </w:rPr>
        <w:t>Noise</w:t>
      </w:r>
      <w:bookmarkEnd w:id="21"/>
    </w:p>
    <w:p w:rsidR="00422F98" w:rsidRPr="006314C9" w:rsidRDefault="00422F98" w:rsidP="007B0BC7">
      <w:pPr>
        <w:rPr>
          <w:rFonts w:cs="Times New Roman"/>
          <w:lang w:val="en-GB"/>
        </w:rPr>
      </w:pPr>
      <w:r w:rsidRPr="006314C9">
        <w:rPr>
          <w:rFonts w:cs="Times New Roman"/>
          <w:b/>
          <w:lang w:val="en-GB"/>
        </w:rPr>
        <w:t>Background information</w:t>
      </w:r>
    </w:p>
    <w:p w:rsidR="00422F98" w:rsidRPr="006314C9" w:rsidRDefault="00422F98" w:rsidP="00FF70E0">
      <w:pPr>
        <w:rPr>
          <w:lang w:val="en-GB"/>
        </w:rPr>
      </w:pPr>
      <w:r w:rsidRPr="006314C9">
        <w:rPr>
          <w:lang w:val="en-GB"/>
        </w:rPr>
        <w:t xml:space="preserve">The aim of </w:t>
      </w:r>
      <w:r w:rsidRPr="006314C9">
        <w:rPr>
          <w:i/>
          <w:lang w:val="en-GB"/>
        </w:rPr>
        <w:t>Environmental Noise</w:t>
      </w:r>
      <w:r w:rsidRPr="006314C9">
        <w:rPr>
          <w:lang w:val="en-GB"/>
        </w:rPr>
        <w:t xml:space="preserve"> directive (2002/49/EC) is to define a common approach intended to avoid, prevent or reduce on a prioritized basis the harmful effects, including annoyance, due to exposure to environmental noise. To that end the following actions shall be implemented progressively:</w:t>
      </w:r>
    </w:p>
    <w:p w:rsidR="00422F98" w:rsidRPr="006314C9" w:rsidRDefault="00422F98" w:rsidP="00152F5E">
      <w:pPr>
        <w:pStyle w:val="ListParagraph"/>
        <w:numPr>
          <w:ilvl w:val="0"/>
          <w:numId w:val="20"/>
        </w:numPr>
        <w:suppressAutoHyphens/>
        <w:jc w:val="left"/>
        <w:rPr>
          <w:rFonts w:cs="Times New Roman"/>
          <w:lang w:val="en-GB"/>
        </w:rPr>
      </w:pPr>
      <w:r w:rsidRPr="006314C9">
        <w:rPr>
          <w:rFonts w:cs="Times New Roman"/>
          <w:lang w:val="en-GB"/>
        </w:rPr>
        <w:t>the determination of exposure to environmental noise, through noise mapping, by methods of assessment common to the Member States;</w:t>
      </w:r>
    </w:p>
    <w:p w:rsidR="00422F98" w:rsidRPr="006314C9" w:rsidRDefault="00422F98" w:rsidP="00152F5E">
      <w:pPr>
        <w:pStyle w:val="ListParagraph"/>
        <w:numPr>
          <w:ilvl w:val="0"/>
          <w:numId w:val="20"/>
        </w:numPr>
        <w:suppressAutoHyphens/>
        <w:jc w:val="left"/>
        <w:rPr>
          <w:rFonts w:cs="Times New Roman"/>
          <w:lang w:val="en-GB"/>
        </w:rPr>
      </w:pPr>
      <w:r w:rsidRPr="006314C9">
        <w:rPr>
          <w:rFonts w:cs="Times New Roman"/>
          <w:lang w:val="en-GB"/>
        </w:rPr>
        <w:t>ensuring that information on environmental noise and its effects is made available to the public;</w:t>
      </w:r>
    </w:p>
    <w:p w:rsidR="00422F98" w:rsidRPr="006314C9" w:rsidRDefault="00422F98" w:rsidP="00152F5E">
      <w:pPr>
        <w:pStyle w:val="ListParagraph"/>
        <w:numPr>
          <w:ilvl w:val="0"/>
          <w:numId w:val="20"/>
        </w:numPr>
        <w:suppressAutoHyphens/>
        <w:jc w:val="left"/>
        <w:rPr>
          <w:rFonts w:cs="Times New Roman"/>
          <w:lang w:val="en-GB"/>
        </w:rPr>
      </w:pPr>
      <w:proofErr w:type="gramStart"/>
      <w:r w:rsidRPr="006314C9">
        <w:rPr>
          <w:rFonts w:cs="Times New Roman"/>
          <w:lang w:val="en-GB"/>
        </w:rPr>
        <w:t>adoption</w:t>
      </w:r>
      <w:proofErr w:type="gramEnd"/>
      <w:r w:rsidRPr="006314C9">
        <w:rPr>
          <w:rFonts w:cs="Times New Roman"/>
          <w:lang w:val="en-GB"/>
        </w:rPr>
        <w:t xml:space="preserve"> of action plans by the Member States, based upon noise-mapping results, with a view to preventing and reducing environmental noise where necessary and particularly where exposure levels can induce harmful effects on human health and to preserving environmental noise quality where it is good.</w:t>
      </w:r>
    </w:p>
    <w:p w:rsidR="00422F98" w:rsidRPr="006314C9" w:rsidRDefault="00422F98" w:rsidP="00FF70E0">
      <w:pPr>
        <w:rPr>
          <w:lang w:val="en-GB"/>
        </w:rPr>
      </w:pPr>
      <w:r w:rsidRPr="006314C9">
        <w:rPr>
          <w:rFonts w:eastAsia="Times New Roman"/>
          <w:lang w:val="en-GB" w:eastAsia="en-GB"/>
        </w:rPr>
        <w:t>The</w:t>
      </w:r>
      <w:r w:rsidRPr="006314C9">
        <w:rPr>
          <w:rFonts w:eastAsia="Calibri"/>
          <w:lang w:val="en-GB"/>
        </w:rPr>
        <w:t xml:space="preserve"> Directive also aim</w:t>
      </w:r>
      <w:r w:rsidRPr="006314C9">
        <w:rPr>
          <w:lang w:val="en-GB"/>
        </w:rPr>
        <w:t>s</w:t>
      </w:r>
      <w:r w:rsidRPr="006314C9">
        <w:rPr>
          <w:rFonts w:eastAsia="Calibri"/>
          <w:lang w:val="en-GB"/>
        </w:rPr>
        <w:t xml:space="preserve"> at providing a basis for developing Community measures to reduce noise emitted by the major sources, in particular road and rail vehicles and infrastructure, aircraft, outdoor and industrial equipment and mobile machinery. </w:t>
      </w:r>
    </w:p>
    <w:p w:rsidR="00422F98" w:rsidRPr="006314C9" w:rsidRDefault="00422F98" w:rsidP="00152F5E">
      <w:pPr>
        <w:rPr>
          <w:rFonts w:cs="Times New Roman"/>
          <w:lang w:val="en-GB"/>
        </w:rPr>
      </w:pPr>
      <w:r w:rsidRPr="006314C9">
        <w:rPr>
          <w:rFonts w:cs="Times New Roman"/>
          <w:b/>
          <w:lang w:val="en-GB"/>
        </w:rPr>
        <w:t>Transposition</w:t>
      </w:r>
    </w:p>
    <w:p w:rsidR="00590337" w:rsidRPr="006314C9" w:rsidRDefault="00422F98">
      <w:pPr>
        <w:rPr>
          <w:lang w:val="en-GB"/>
        </w:rPr>
      </w:pPr>
      <w:r w:rsidRPr="006314C9">
        <w:rPr>
          <w:lang w:val="en-GB"/>
        </w:rPr>
        <w:t xml:space="preserve">The Directive is at advance level of transposition into the national </w:t>
      </w:r>
      <w:proofErr w:type="spellStart"/>
      <w:r w:rsidRPr="006314C9">
        <w:rPr>
          <w:lang w:val="en-GB"/>
        </w:rPr>
        <w:t>legislation</w:t>
      </w:r>
      <w:r w:rsidR="00C176AE" w:rsidRPr="006314C9">
        <w:rPr>
          <w:rFonts w:eastAsia="Segoe UI"/>
          <w:lang w:val="en-GB" w:eastAsia="zh-CN" w:bidi="hi-IN"/>
        </w:rPr>
        <w:t>with</w:t>
      </w:r>
      <w:proofErr w:type="spellEnd"/>
      <w:r w:rsidR="00C176AE" w:rsidRPr="006314C9">
        <w:rPr>
          <w:rFonts w:eastAsia="Segoe UI"/>
          <w:lang w:val="en-GB" w:eastAsia="zh-CN" w:bidi="hi-IN"/>
        </w:rPr>
        <w:t xml:space="preserve"> the Law No.9774, of 12.07.2007, “On Assessment and Administration of Environmental Noise”, amended with the Law 39/2013</w:t>
      </w:r>
      <w:r w:rsidRPr="006314C9">
        <w:rPr>
          <w:lang w:val="en-GB"/>
        </w:rPr>
        <w:t xml:space="preserve">. </w:t>
      </w:r>
      <w:r w:rsidR="00DF7109" w:rsidRPr="006314C9">
        <w:rPr>
          <w:lang w:val="en-GB"/>
        </w:rPr>
        <w:t xml:space="preserve">There are several secondary legislation adopted which further transpose this directive, such as: </w:t>
      </w:r>
      <w:r w:rsidR="00DF7109" w:rsidRPr="006314C9">
        <w:rPr>
          <w:lang w:val="en-GB" w:eastAsia="en-GB"/>
        </w:rPr>
        <w:t xml:space="preserve">Guideline No.1 “On minimum requirements for strategic noise mapping”, Guideline No.2 "On indicators, assessment methods, rules and technical requirements of the methodology for assessing the level of noise, and for verification of the interventions made to resolve and improve the situation" adopted in 2013; </w:t>
      </w:r>
      <w:r w:rsidR="00DF7109" w:rsidRPr="006314C9">
        <w:rPr>
          <w:lang w:val="en-GB"/>
        </w:rPr>
        <w:t xml:space="preserve">Joint Guidance No. 8 "On noise limit values in certain environments" from 2007; DCM No. 587 "On the monitoring and control of noise levels in urban and tourist centres" from 2010; A common Order “On Approval of the Regulation “On Protection of Environment from Noises from Civil Aviation” approved by the Minister Environment No. 11262 Prot. and by the Minister of Transport and Infrastructure No. 7398/1 in 2014; and Guideline No. 1, “On the approval of minimum requirements for drafting noise action plans” from 2018. </w:t>
      </w:r>
    </w:p>
    <w:p w:rsidR="00422F98" w:rsidRPr="006314C9" w:rsidRDefault="00DF7109" w:rsidP="00E56877">
      <w:pPr>
        <w:rPr>
          <w:lang w:val="en-GB"/>
        </w:rPr>
      </w:pPr>
      <w:r w:rsidRPr="006314C9">
        <w:rPr>
          <w:lang w:val="en-GB"/>
        </w:rPr>
        <w:t xml:space="preserve">The legal framework for noise provides good base for the implementation, however, the absence of relevant administrative structure and human capacity hampers the implementation. </w:t>
      </w:r>
    </w:p>
    <w:p w:rsidR="00422F98" w:rsidRPr="006314C9" w:rsidRDefault="00422F98" w:rsidP="00152F5E">
      <w:pPr>
        <w:rPr>
          <w:rFonts w:cs="Times New Roman"/>
          <w:lang w:val="en-GB"/>
        </w:rPr>
      </w:pPr>
      <w:r w:rsidRPr="006314C9">
        <w:rPr>
          <w:rFonts w:cs="Times New Roman"/>
          <w:b/>
          <w:lang w:val="en-GB"/>
        </w:rPr>
        <w:t>Implementation</w:t>
      </w:r>
    </w:p>
    <w:p w:rsidR="00422F98" w:rsidRPr="006314C9" w:rsidRDefault="00422F98" w:rsidP="00E56877">
      <w:pPr>
        <w:rPr>
          <w:lang w:val="en-GB"/>
        </w:rPr>
      </w:pPr>
      <w:r w:rsidRPr="006314C9">
        <w:rPr>
          <w:lang w:val="en-GB"/>
        </w:rPr>
        <w:t>The Directive is in the initial stage of implementation</w:t>
      </w:r>
      <w:r w:rsidR="00C176AE" w:rsidRPr="006314C9">
        <w:rPr>
          <w:lang w:val="en-GB"/>
        </w:rPr>
        <w:t xml:space="preserve"> as majority </w:t>
      </w:r>
      <w:proofErr w:type="spellStart"/>
      <w:r w:rsidR="00C176AE" w:rsidRPr="006314C9">
        <w:rPr>
          <w:lang w:val="en-GB"/>
        </w:rPr>
        <w:t>o</w:t>
      </w:r>
      <w:r w:rsidR="00C94095" w:rsidRPr="006314C9">
        <w:rPr>
          <w:lang w:val="en-GB"/>
        </w:rPr>
        <w:t>f</w:t>
      </w:r>
      <w:r w:rsidR="006225B7" w:rsidRPr="006314C9">
        <w:rPr>
          <w:lang w:val="en-GB"/>
        </w:rPr>
        <w:t>requirements</w:t>
      </w:r>
      <w:proofErr w:type="spellEnd"/>
      <w:r w:rsidR="00C176AE" w:rsidRPr="006314C9">
        <w:rPr>
          <w:lang w:val="en-GB"/>
        </w:rPr>
        <w:t xml:space="preserve"> are not implanted and no actions are being taken for their implementation. In particular</w:t>
      </w:r>
      <w:r w:rsidRPr="006314C9">
        <w:rPr>
          <w:lang w:val="en-GB"/>
        </w:rPr>
        <w:t>:</w:t>
      </w:r>
    </w:p>
    <w:p w:rsidR="00422F98" w:rsidRPr="006314C9" w:rsidRDefault="00422F98" w:rsidP="00152F5E">
      <w:pPr>
        <w:pStyle w:val="ListParagraph"/>
        <w:numPr>
          <w:ilvl w:val="0"/>
          <w:numId w:val="21"/>
        </w:numPr>
        <w:suppressAutoHyphens/>
        <w:jc w:val="left"/>
        <w:rPr>
          <w:rFonts w:cs="Times New Roman"/>
          <w:lang w:val="en-GB"/>
        </w:rPr>
      </w:pPr>
      <w:r w:rsidRPr="006314C9">
        <w:rPr>
          <w:rFonts w:cs="Times New Roman"/>
          <w:lang w:val="en-GB"/>
        </w:rPr>
        <w:t>there is no development related to the drafting of the National Noise Management Plan;</w:t>
      </w:r>
    </w:p>
    <w:p w:rsidR="00422F98" w:rsidRPr="006314C9" w:rsidRDefault="00422F98" w:rsidP="00152F5E">
      <w:pPr>
        <w:pStyle w:val="ListParagraph"/>
        <w:numPr>
          <w:ilvl w:val="0"/>
          <w:numId w:val="21"/>
        </w:numPr>
        <w:suppressAutoHyphens/>
        <w:jc w:val="left"/>
        <w:rPr>
          <w:rFonts w:cs="Times New Roman"/>
          <w:lang w:val="en-GB"/>
        </w:rPr>
      </w:pPr>
      <w:r w:rsidRPr="006314C9">
        <w:rPr>
          <w:rFonts w:cs="Times New Roman"/>
          <w:lang w:val="en-GB"/>
        </w:rPr>
        <w:t>there is no local government strategy or budget for local noise management plans;</w:t>
      </w:r>
    </w:p>
    <w:p w:rsidR="00422F98" w:rsidRPr="006314C9" w:rsidRDefault="00422F98" w:rsidP="00152F5E">
      <w:pPr>
        <w:pStyle w:val="ListParagraph"/>
        <w:numPr>
          <w:ilvl w:val="0"/>
          <w:numId w:val="21"/>
        </w:numPr>
        <w:suppressAutoHyphens/>
        <w:jc w:val="left"/>
        <w:rPr>
          <w:rFonts w:cs="Times New Roman"/>
          <w:lang w:val="en-GB"/>
        </w:rPr>
      </w:pPr>
      <w:r w:rsidRPr="006314C9">
        <w:rPr>
          <w:rFonts w:cs="Times New Roman"/>
          <w:lang w:val="en-GB"/>
        </w:rPr>
        <w:t>there is no institution for noise assessment according to the methodology set out in Annex I of Commission Directive (EU) 2015/996;</w:t>
      </w:r>
    </w:p>
    <w:p w:rsidR="00422F98" w:rsidRPr="006314C9" w:rsidRDefault="00422F98" w:rsidP="00152F5E">
      <w:pPr>
        <w:pStyle w:val="ListParagraph"/>
        <w:numPr>
          <w:ilvl w:val="0"/>
          <w:numId w:val="21"/>
        </w:numPr>
        <w:suppressAutoHyphens/>
        <w:jc w:val="left"/>
        <w:rPr>
          <w:rFonts w:cs="Times New Roman"/>
          <w:lang w:val="en-GB"/>
        </w:rPr>
      </w:pPr>
      <w:r w:rsidRPr="006314C9">
        <w:rPr>
          <w:rFonts w:cs="Times New Roman"/>
          <w:lang w:val="en-GB"/>
        </w:rPr>
        <w:t>there is no institution yet for development or approval of noise maps, action plans for agglomerations, major roads, major railways and major airports</w:t>
      </w:r>
      <w:r w:rsidR="00C176AE" w:rsidRPr="006314C9">
        <w:rPr>
          <w:rFonts w:cs="Times New Roman"/>
          <w:lang w:val="en-GB"/>
        </w:rPr>
        <w:t>;</w:t>
      </w:r>
    </w:p>
    <w:p w:rsidR="00D80B0D" w:rsidRPr="006314C9" w:rsidRDefault="00C176AE" w:rsidP="00152F5E">
      <w:pPr>
        <w:pStyle w:val="ListParagraph"/>
        <w:numPr>
          <w:ilvl w:val="0"/>
          <w:numId w:val="21"/>
        </w:numPr>
        <w:suppressAutoHyphens/>
        <w:jc w:val="left"/>
        <w:rPr>
          <w:rFonts w:cs="Times New Roman"/>
          <w:lang w:val="en-GB"/>
        </w:rPr>
      </w:pPr>
      <w:r w:rsidRPr="006314C9">
        <w:rPr>
          <w:rFonts w:cs="Times New Roman"/>
          <w:lang w:val="en-GB"/>
        </w:rPr>
        <w:lastRenderedPageBreak/>
        <w:t>agglomerations, major roads, major railways and major airports as per directive have not been designated;</w:t>
      </w:r>
    </w:p>
    <w:p w:rsidR="00D80B0D" w:rsidRPr="006314C9" w:rsidRDefault="00C176AE" w:rsidP="00152F5E">
      <w:pPr>
        <w:pStyle w:val="ListParagraph"/>
        <w:numPr>
          <w:ilvl w:val="0"/>
          <w:numId w:val="21"/>
        </w:numPr>
        <w:suppressAutoHyphens/>
        <w:jc w:val="left"/>
        <w:rPr>
          <w:rFonts w:cs="Times New Roman"/>
          <w:lang w:val="en-GB"/>
        </w:rPr>
      </w:pPr>
      <w:proofErr w:type="gramStart"/>
      <w:r w:rsidRPr="006314C9">
        <w:rPr>
          <w:rFonts w:cs="Times New Roman"/>
          <w:lang w:val="en-GB"/>
        </w:rPr>
        <w:t>noise</w:t>
      </w:r>
      <w:proofErr w:type="gramEnd"/>
      <w:r w:rsidRPr="006314C9">
        <w:rPr>
          <w:rFonts w:cs="Times New Roman"/>
          <w:lang w:val="en-GB"/>
        </w:rPr>
        <w:t xml:space="preserve"> monitoring is very limited and only performed on several points. </w:t>
      </w:r>
      <w:r w:rsidR="00D80B0D" w:rsidRPr="006314C9">
        <w:rPr>
          <w:rFonts w:cs="Times New Roman"/>
          <w:lang w:val="en-GB"/>
        </w:rPr>
        <w:t xml:space="preserve">Namely, NEA monitors noise at 11 cities: </w:t>
      </w:r>
      <w:proofErr w:type="spellStart"/>
      <w:r w:rsidR="00D80B0D" w:rsidRPr="006314C9">
        <w:rPr>
          <w:rFonts w:cs="Times New Roman"/>
          <w:lang w:val="en-GB"/>
        </w:rPr>
        <w:t>Berati</w:t>
      </w:r>
      <w:proofErr w:type="spellEnd"/>
      <w:r w:rsidR="00D80B0D" w:rsidRPr="006314C9">
        <w:rPr>
          <w:rFonts w:cs="Times New Roman"/>
          <w:lang w:val="en-GB"/>
        </w:rPr>
        <w:t xml:space="preserve">, </w:t>
      </w:r>
      <w:proofErr w:type="spellStart"/>
      <w:r w:rsidR="00D80B0D" w:rsidRPr="006314C9">
        <w:rPr>
          <w:rFonts w:cs="Times New Roman"/>
          <w:lang w:val="en-GB"/>
        </w:rPr>
        <w:t>Fieri</w:t>
      </w:r>
      <w:proofErr w:type="spellEnd"/>
      <w:r w:rsidR="00D80B0D" w:rsidRPr="006314C9">
        <w:rPr>
          <w:rFonts w:cs="Times New Roman"/>
          <w:lang w:val="en-GB"/>
        </w:rPr>
        <w:t xml:space="preserve">, </w:t>
      </w:r>
      <w:proofErr w:type="spellStart"/>
      <w:r w:rsidR="00D80B0D" w:rsidRPr="006314C9">
        <w:rPr>
          <w:rFonts w:cs="Times New Roman"/>
          <w:lang w:val="en-GB"/>
        </w:rPr>
        <w:t>Koça</w:t>
      </w:r>
      <w:proofErr w:type="spellEnd"/>
      <w:r w:rsidR="00D80B0D" w:rsidRPr="006314C9">
        <w:rPr>
          <w:rFonts w:cs="Times New Roman"/>
          <w:lang w:val="en-GB"/>
        </w:rPr>
        <w:t xml:space="preserve">, </w:t>
      </w:r>
      <w:proofErr w:type="spellStart"/>
      <w:r w:rsidR="00D80B0D" w:rsidRPr="006314C9">
        <w:rPr>
          <w:rFonts w:cs="Times New Roman"/>
          <w:lang w:val="en-GB"/>
        </w:rPr>
        <w:t>Saranda</w:t>
      </w:r>
      <w:proofErr w:type="spellEnd"/>
      <w:r w:rsidR="00D80B0D" w:rsidRPr="006314C9">
        <w:rPr>
          <w:rFonts w:cs="Times New Roman"/>
          <w:lang w:val="en-GB"/>
        </w:rPr>
        <w:t xml:space="preserve">, Tirana, </w:t>
      </w:r>
      <w:proofErr w:type="spellStart"/>
      <w:r w:rsidR="00D80B0D" w:rsidRPr="006314C9">
        <w:rPr>
          <w:rFonts w:cs="Times New Roman"/>
          <w:lang w:val="en-GB"/>
        </w:rPr>
        <w:t>Kukësi</w:t>
      </w:r>
      <w:proofErr w:type="spellEnd"/>
      <w:r w:rsidR="00D80B0D" w:rsidRPr="006314C9">
        <w:rPr>
          <w:rFonts w:cs="Times New Roman"/>
          <w:lang w:val="en-GB"/>
        </w:rPr>
        <w:t xml:space="preserve">, </w:t>
      </w:r>
      <w:proofErr w:type="spellStart"/>
      <w:r w:rsidR="00D80B0D" w:rsidRPr="006314C9">
        <w:rPr>
          <w:rFonts w:cs="Times New Roman"/>
          <w:lang w:val="en-GB"/>
        </w:rPr>
        <w:t>Shkodra</w:t>
      </w:r>
      <w:proofErr w:type="spellEnd"/>
      <w:r w:rsidR="00D80B0D" w:rsidRPr="006314C9">
        <w:rPr>
          <w:rFonts w:cs="Times New Roman"/>
          <w:lang w:val="en-GB"/>
        </w:rPr>
        <w:t xml:space="preserve">, </w:t>
      </w:r>
      <w:proofErr w:type="spellStart"/>
      <w:r w:rsidR="00D80B0D" w:rsidRPr="006314C9">
        <w:rPr>
          <w:rFonts w:cs="Times New Roman"/>
          <w:lang w:val="en-GB"/>
        </w:rPr>
        <w:t>Pogradeci</w:t>
      </w:r>
      <w:proofErr w:type="spellEnd"/>
      <w:r w:rsidR="00D80B0D" w:rsidRPr="006314C9">
        <w:rPr>
          <w:rFonts w:cs="Times New Roman"/>
          <w:lang w:val="en-GB"/>
        </w:rPr>
        <w:t xml:space="preserve">, </w:t>
      </w:r>
      <w:proofErr w:type="spellStart"/>
      <w:r w:rsidR="00D80B0D" w:rsidRPr="006314C9">
        <w:rPr>
          <w:rFonts w:cs="Times New Roman"/>
          <w:lang w:val="en-GB"/>
        </w:rPr>
        <w:t>Gjirokastra</w:t>
      </w:r>
      <w:proofErr w:type="spellEnd"/>
      <w:r w:rsidR="00D80B0D" w:rsidRPr="006314C9">
        <w:rPr>
          <w:rFonts w:cs="Times New Roman"/>
          <w:lang w:val="en-GB"/>
        </w:rPr>
        <w:t xml:space="preserve">, </w:t>
      </w:r>
      <w:proofErr w:type="spellStart"/>
      <w:r w:rsidR="00D80B0D" w:rsidRPr="006314C9">
        <w:rPr>
          <w:rFonts w:cs="Times New Roman"/>
          <w:lang w:val="en-GB"/>
        </w:rPr>
        <w:t>Vlora</w:t>
      </w:r>
      <w:proofErr w:type="spellEnd"/>
      <w:r w:rsidR="00D80B0D" w:rsidRPr="006314C9">
        <w:rPr>
          <w:rFonts w:cs="Times New Roman"/>
          <w:lang w:val="en-GB"/>
        </w:rPr>
        <w:t xml:space="preserve"> and </w:t>
      </w:r>
      <w:proofErr w:type="spellStart"/>
      <w:r w:rsidR="00D80B0D" w:rsidRPr="006314C9">
        <w:rPr>
          <w:rFonts w:cs="Times New Roman"/>
          <w:lang w:val="en-GB"/>
        </w:rPr>
        <w:t>Lezhaat</w:t>
      </w:r>
      <w:proofErr w:type="spellEnd"/>
      <w:r w:rsidR="00D80B0D" w:rsidRPr="006314C9">
        <w:rPr>
          <w:rFonts w:cs="Times New Roman"/>
          <w:lang w:val="en-GB"/>
        </w:rPr>
        <w:t xml:space="preserve"> 57 locations. There is only one noise </w:t>
      </w:r>
      <w:r w:rsidR="00E56877" w:rsidRPr="006314C9">
        <w:rPr>
          <w:rFonts w:cs="Times New Roman"/>
          <w:lang w:val="en-GB"/>
        </w:rPr>
        <w:t xml:space="preserve">monitoring </w:t>
      </w:r>
      <w:r w:rsidR="00D80B0D" w:rsidRPr="006314C9">
        <w:rPr>
          <w:rFonts w:cs="Times New Roman"/>
          <w:lang w:val="en-GB"/>
        </w:rPr>
        <w:t xml:space="preserve">equipment. </w:t>
      </w:r>
    </w:p>
    <w:p w:rsidR="00AF56D7" w:rsidRPr="006314C9" w:rsidRDefault="00AF56D7" w:rsidP="00E56877">
      <w:pPr>
        <w:rPr>
          <w:lang w:val="en-GB" w:eastAsia="en-GB"/>
        </w:rPr>
      </w:pPr>
      <w:r w:rsidRPr="006314C9">
        <w:rPr>
          <w:lang w:val="en-GB" w:eastAsia="en-GB"/>
        </w:rPr>
        <w:t xml:space="preserve">The implementation of the noise legislation was supported by adoption DCM No. 123 “On Approval of the National Action Plan for the Management of Environmental Noise” in 2011. However, this plan was only followed by adoption of the relevant secondary legislation, and only few measures have been taken into consideration, manly related to take some </w:t>
      </w:r>
      <w:r w:rsidR="006225B7" w:rsidRPr="006314C9">
        <w:rPr>
          <w:lang w:val="en-GB" w:eastAsia="en-GB"/>
        </w:rPr>
        <w:t xml:space="preserve">actions of noise </w:t>
      </w:r>
      <w:proofErr w:type="spellStart"/>
      <w:r w:rsidRPr="006314C9">
        <w:rPr>
          <w:lang w:val="en-GB" w:eastAsia="en-GB"/>
        </w:rPr>
        <w:t>monitoring</w:t>
      </w:r>
      <w:r w:rsidR="006225B7" w:rsidRPr="006314C9">
        <w:rPr>
          <w:lang w:val="en-GB" w:eastAsia="en-GB"/>
        </w:rPr>
        <w:t>.</w:t>
      </w:r>
      <w:r w:rsidR="00361537" w:rsidRPr="006314C9">
        <w:rPr>
          <w:lang w:val="en-GB" w:eastAsia="en-GB"/>
        </w:rPr>
        <w:t>The</w:t>
      </w:r>
      <w:proofErr w:type="spellEnd"/>
      <w:r w:rsidR="00D42252" w:rsidRPr="006314C9">
        <w:rPr>
          <w:lang w:val="en-GB" w:eastAsia="en-GB"/>
        </w:rPr>
        <w:t xml:space="preserve"> plan will need to be updated as to provide </w:t>
      </w:r>
      <w:r w:rsidR="00D80B0D" w:rsidRPr="006314C9">
        <w:rPr>
          <w:lang w:val="en-GB" w:eastAsia="en-GB"/>
        </w:rPr>
        <w:t xml:space="preserve">all measures needed to fulfil the </w:t>
      </w:r>
      <w:proofErr w:type="spellStart"/>
      <w:r w:rsidR="00D80B0D" w:rsidRPr="006314C9">
        <w:rPr>
          <w:lang w:val="en-GB" w:eastAsia="en-GB"/>
        </w:rPr>
        <w:t>requirements</w:t>
      </w:r>
      <w:r w:rsidR="00E56877" w:rsidRPr="006314C9">
        <w:rPr>
          <w:lang w:val="en-GB" w:eastAsia="en-GB"/>
        </w:rPr>
        <w:t>reflecting</w:t>
      </w:r>
      <w:proofErr w:type="spellEnd"/>
      <w:r w:rsidR="00D42252" w:rsidRPr="006314C9">
        <w:rPr>
          <w:lang w:val="en-GB" w:eastAsia="en-GB"/>
        </w:rPr>
        <w:t xml:space="preserve"> the current administrative structure</w:t>
      </w:r>
      <w:r w:rsidR="00D80B0D" w:rsidRPr="006314C9">
        <w:rPr>
          <w:lang w:val="en-GB" w:eastAsia="en-GB"/>
        </w:rPr>
        <w:t xml:space="preserve">. </w:t>
      </w:r>
    </w:p>
    <w:p w:rsidR="00D80B0D" w:rsidRPr="006314C9" w:rsidRDefault="00D80B0D" w:rsidP="00E56877">
      <w:pPr>
        <w:rPr>
          <w:lang w:val="en-GB"/>
        </w:rPr>
      </w:pPr>
      <w:r w:rsidRPr="006314C9">
        <w:rPr>
          <w:lang w:val="en-GB"/>
        </w:rPr>
        <w:t>There is an urgent need to start with implementation of this directive</w:t>
      </w:r>
      <w:r w:rsidR="00E56877" w:rsidRPr="006314C9">
        <w:rPr>
          <w:lang w:val="en-GB"/>
        </w:rPr>
        <w:t xml:space="preserve">, </w:t>
      </w:r>
      <w:r w:rsidRPr="006314C9">
        <w:rPr>
          <w:lang w:val="en-GB"/>
        </w:rPr>
        <w:t>first</w:t>
      </w:r>
      <w:r w:rsidR="00E56877" w:rsidRPr="006314C9">
        <w:rPr>
          <w:lang w:val="en-GB"/>
        </w:rPr>
        <w:t>ly,</w:t>
      </w:r>
      <w:r w:rsidRPr="006314C9">
        <w:rPr>
          <w:lang w:val="en-GB"/>
        </w:rPr>
        <w:t xml:space="preserve"> designat</w:t>
      </w:r>
      <w:r w:rsidR="00E56877" w:rsidRPr="006314C9">
        <w:rPr>
          <w:lang w:val="en-GB"/>
        </w:rPr>
        <w:t>ing</w:t>
      </w:r>
      <w:r w:rsidRPr="006314C9">
        <w:rPr>
          <w:lang w:val="en-GB"/>
        </w:rPr>
        <w:t xml:space="preserve"> the agglomeration</w:t>
      </w:r>
      <w:r w:rsidR="00D42252" w:rsidRPr="006314C9">
        <w:rPr>
          <w:lang w:val="en-GB"/>
        </w:rPr>
        <w:t>s</w:t>
      </w:r>
      <w:r w:rsidRPr="006314C9">
        <w:rPr>
          <w:lang w:val="en-GB"/>
        </w:rPr>
        <w:t>, main roads, main railways and main airport. Ne</w:t>
      </w:r>
      <w:r w:rsidR="00D42252" w:rsidRPr="006314C9">
        <w:rPr>
          <w:lang w:val="en-GB"/>
        </w:rPr>
        <w:t>x</w:t>
      </w:r>
      <w:r w:rsidRPr="006314C9">
        <w:rPr>
          <w:lang w:val="en-GB"/>
        </w:rPr>
        <w:t>t</w:t>
      </w:r>
      <w:r w:rsidR="00E56877" w:rsidRPr="006314C9">
        <w:rPr>
          <w:lang w:val="en-GB"/>
        </w:rPr>
        <w:t xml:space="preserve">, </w:t>
      </w:r>
      <w:r w:rsidRPr="006314C9">
        <w:rPr>
          <w:lang w:val="en-GB"/>
        </w:rPr>
        <w:t>developing the relevant noise maps and plans, and train</w:t>
      </w:r>
      <w:r w:rsidR="00E56877" w:rsidRPr="006314C9">
        <w:rPr>
          <w:lang w:val="en-GB"/>
        </w:rPr>
        <w:t>ing</w:t>
      </w:r>
      <w:r w:rsidRPr="006314C9">
        <w:rPr>
          <w:lang w:val="en-GB"/>
        </w:rPr>
        <w:t xml:space="preserve"> the authorities to prepare these documents. Development of well defend information data base is needed as to provide required information to the public. </w:t>
      </w:r>
    </w:p>
    <w:p w:rsidR="00422F98" w:rsidRPr="006314C9" w:rsidRDefault="00422F98" w:rsidP="00152F5E">
      <w:pPr>
        <w:rPr>
          <w:rFonts w:cs="Times New Roman"/>
          <w:lang w:val="en-GB"/>
        </w:rPr>
      </w:pPr>
      <w:r w:rsidRPr="006314C9">
        <w:rPr>
          <w:rFonts w:cs="Times New Roman"/>
          <w:b/>
          <w:lang w:val="en-GB"/>
        </w:rPr>
        <w:t>Administrative capacity</w:t>
      </w:r>
    </w:p>
    <w:p w:rsidR="00590337" w:rsidRPr="006314C9" w:rsidRDefault="004B4CA4">
      <w:pPr>
        <w:rPr>
          <w:lang w:val="en-GB"/>
        </w:rPr>
      </w:pPr>
      <w:r w:rsidRPr="006314C9">
        <w:rPr>
          <w:lang w:val="en-GB"/>
        </w:rPr>
        <w:t xml:space="preserve">Ministry of Tourism and Environment has an </w:t>
      </w:r>
      <w:r w:rsidR="00D42252" w:rsidRPr="006314C9">
        <w:rPr>
          <w:lang w:val="en-GB"/>
        </w:rPr>
        <w:t>overall</w:t>
      </w:r>
      <w:r w:rsidRPr="006314C9">
        <w:rPr>
          <w:lang w:val="en-GB"/>
        </w:rPr>
        <w:t xml:space="preserve"> responsibility for policy development and planning and compliance with EU noise </w:t>
      </w:r>
      <w:proofErr w:type="spellStart"/>
      <w:r w:rsidRPr="006314C9">
        <w:rPr>
          <w:lang w:val="en-GB"/>
        </w:rPr>
        <w:t>requirements.The</w:t>
      </w:r>
      <w:proofErr w:type="spellEnd"/>
      <w:r w:rsidRPr="006314C9">
        <w:rPr>
          <w:lang w:val="en-GB"/>
        </w:rPr>
        <w:t xml:space="preserve"> establishment of the Noise Technical Council at the Ministry of Tourism and </w:t>
      </w:r>
      <w:proofErr w:type="spellStart"/>
      <w:r w:rsidRPr="006314C9">
        <w:rPr>
          <w:lang w:val="en-GB"/>
        </w:rPr>
        <w:t>Environment</w:t>
      </w:r>
      <w:r w:rsidR="00AF56D7" w:rsidRPr="006314C9">
        <w:rPr>
          <w:lang w:val="en-GB"/>
        </w:rPr>
        <w:t>is</w:t>
      </w:r>
      <w:proofErr w:type="spellEnd"/>
      <w:r w:rsidR="00AF56D7" w:rsidRPr="006314C9">
        <w:rPr>
          <w:lang w:val="en-GB"/>
        </w:rPr>
        <w:t xml:space="preserve"> envisaged by the Law on Assessment and Administration of Environmental Noise</w:t>
      </w:r>
      <w:r w:rsidR="006225B7" w:rsidRPr="006314C9">
        <w:rPr>
          <w:lang w:val="en-GB"/>
        </w:rPr>
        <w:t xml:space="preserve"> (Noise Law)</w:t>
      </w:r>
      <w:r w:rsidR="00AF56D7" w:rsidRPr="006314C9">
        <w:rPr>
          <w:lang w:val="en-GB"/>
        </w:rPr>
        <w:t xml:space="preserve">. It </w:t>
      </w:r>
      <w:r w:rsidR="00E56877" w:rsidRPr="006314C9">
        <w:rPr>
          <w:lang w:val="en-GB"/>
        </w:rPr>
        <w:t xml:space="preserve">is </w:t>
      </w:r>
      <w:r w:rsidR="006225B7" w:rsidRPr="006314C9">
        <w:rPr>
          <w:lang w:val="en-GB"/>
        </w:rPr>
        <w:t>supposed</w:t>
      </w:r>
      <w:r w:rsidR="00AF56D7" w:rsidRPr="006314C9">
        <w:rPr>
          <w:lang w:val="en-GB"/>
        </w:rPr>
        <w:t xml:space="preserve"> to be</w:t>
      </w:r>
      <w:r w:rsidRPr="006314C9">
        <w:rPr>
          <w:lang w:val="en-GB"/>
        </w:rPr>
        <w:t xml:space="preserve"> an advisory and inter-institutional body on noise issues, whose mission is to assist the MTE in the development of its noise policy.</w:t>
      </w:r>
      <w:r w:rsidR="006225B7" w:rsidRPr="006314C9">
        <w:rPr>
          <w:lang w:val="en-GB"/>
        </w:rPr>
        <w:t xml:space="preserve"> Such Council is not yet established. </w:t>
      </w:r>
    </w:p>
    <w:p w:rsidR="00590337" w:rsidRPr="006314C9" w:rsidRDefault="00AF56D7">
      <w:pPr>
        <w:rPr>
          <w:lang w:val="en-GB"/>
        </w:rPr>
      </w:pPr>
      <w:r w:rsidRPr="006314C9">
        <w:rPr>
          <w:lang w:val="en-GB"/>
        </w:rPr>
        <w:t xml:space="preserve">According to the provisions of the </w:t>
      </w:r>
      <w:r w:rsidR="006225B7" w:rsidRPr="006314C9">
        <w:rPr>
          <w:lang w:val="en-GB"/>
        </w:rPr>
        <w:t>Noise Law</w:t>
      </w:r>
      <w:r w:rsidRPr="006314C9">
        <w:rPr>
          <w:lang w:val="en-GB"/>
        </w:rPr>
        <w:t>, NEA is in charge of the quality check and quality control for the measurements and collects, processes and keeps the noise monitoring data at the national, regional and local level and per each economic sector in a noise register.</w:t>
      </w:r>
    </w:p>
    <w:p w:rsidR="00590337" w:rsidRPr="006314C9" w:rsidRDefault="00AF56D7">
      <w:pPr>
        <w:rPr>
          <w:lang w:val="en-GB"/>
        </w:rPr>
      </w:pPr>
      <w:r w:rsidRPr="006314C9">
        <w:rPr>
          <w:lang w:val="en-GB"/>
        </w:rPr>
        <w:t xml:space="preserve">Institute of Public Health </w:t>
      </w:r>
      <w:r w:rsidR="0065545A" w:rsidRPr="006314C9">
        <w:rPr>
          <w:lang w:val="en-GB"/>
        </w:rPr>
        <w:t xml:space="preserve">(IPH) </w:t>
      </w:r>
      <w:r w:rsidRPr="006314C9">
        <w:rPr>
          <w:lang w:val="en-GB"/>
        </w:rPr>
        <w:t>is in charge of noise pollution control</w:t>
      </w:r>
      <w:r w:rsidR="00E56877" w:rsidRPr="006314C9">
        <w:rPr>
          <w:lang w:val="en-GB"/>
        </w:rPr>
        <w:t xml:space="preserve"> as </w:t>
      </w:r>
      <w:r w:rsidRPr="006314C9">
        <w:rPr>
          <w:lang w:val="en-GB"/>
        </w:rPr>
        <w:t>the national body for the monitoring and reporting of the noise pollution</w:t>
      </w:r>
      <w:r w:rsidR="006225B7" w:rsidRPr="006314C9">
        <w:rPr>
          <w:lang w:val="en-GB"/>
        </w:rPr>
        <w:t xml:space="preserve"> as designated by the law. The Noise Law has requested IPH to establish a new </w:t>
      </w:r>
      <w:r w:rsidR="007216FF" w:rsidRPr="006314C9">
        <w:rPr>
          <w:lang w:val="en-GB"/>
        </w:rPr>
        <w:t>sector</w:t>
      </w:r>
      <w:r w:rsidR="006225B7" w:rsidRPr="006314C9">
        <w:rPr>
          <w:lang w:val="en-GB"/>
        </w:rPr>
        <w:t xml:space="preserve"> on noise, as a reference unit for the noise measurement and assessment</w:t>
      </w:r>
      <w:r w:rsidR="007216FF" w:rsidRPr="006314C9">
        <w:rPr>
          <w:lang w:val="en-GB"/>
        </w:rPr>
        <w:t xml:space="preserve">, which at the moment has only 3 technicians within the </w:t>
      </w:r>
      <w:r w:rsidRPr="006314C9">
        <w:rPr>
          <w:lang w:val="en-GB"/>
        </w:rPr>
        <w:t>Directorate of Health and Environment.</w:t>
      </w:r>
    </w:p>
    <w:p w:rsidR="00AF56D7" w:rsidRPr="006314C9" w:rsidRDefault="00AF56D7" w:rsidP="00E56877">
      <w:pPr>
        <w:rPr>
          <w:lang w:val="en-GB"/>
        </w:rPr>
      </w:pPr>
      <w:r w:rsidRPr="006314C9">
        <w:rPr>
          <w:lang w:val="en-GB"/>
        </w:rPr>
        <w:t xml:space="preserve">Noise monitoring has been undertaken by the NEA since 2014. Prior to this noise monitoring was undertaken by the IPH, which has been contracted by NEA. The IPH began collecting noise data in 2007 and also did so in 2008, 2010 and 2011. </w:t>
      </w:r>
      <w:r w:rsidR="001C5B0C" w:rsidRPr="006314C9">
        <w:rPr>
          <w:lang w:val="en-GB"/>
        </w:rPr>
        <w:t>N</w:t>
      </w:r>
      <w:r w:rsidRPr="006314C9">
        <w:rPr>
          <w:lang w:val="en-GB"/>
        </w:rPr>
        <w:t xml:space="preserve">oise monitoring </w:t>
      </w:r>
      <w:r w:rsidR="0065545A" w:rsidRPr="006314C9">
        <w:rPr>
          <w:lang w:val="en-GB"/>
        </w:rPr>
        <w:t xml:space="preserve">currently </w:t>
      </w:r>
      <w:r w:rsidRPr="006314C9">
        <w:rPr>
          <w:lang w:val="en-GB"/>
        </w:rPr>
        <w:t xml:space="preserve">is </w:t>
      </w:r>
      <w:r w:rsidR="0065545A" w:rsidRPr="006314C9">
        <w:rPr>
          <w:lang w:val="en-GB"/>
        </w:rPr>
        <w:t>entire</w:t>
      </w:r>
      <w:r w:rsidR="007216FF" w:rsidRPr="006314C9">
        <w:rPr>
          <w:lang w:val="en-GB"/>
        </w:rPr>
        <w:t xml:space="preserve"> done</w:t>
      </w:r>
      <w:r w:rsidRPr="006314C9">
        <w:rPr>
          <w:lang w:val="en-GB"/>
        </w:rPr>
        <w:t xml:space="preserve"> by the NEA</w:t>
      </w:r>
      <w:r w:rsidR="007216FF" w:rsidRPr="006314C9">
        <w:rPr>
          <w:lang w:val="en-GB"/>
        </w:rPr>
        <w:t xml:space="preserve">. However, some challenges in clarifying the </w:t>
      </w:r>
      <w:r w:rsidR="00D80B0D" w:rsidRPr="006314C9">
        <w:rPr>
          <w:lang w:val="en-GB"/>
        </w:rPr>
        <w:t>competencies</w:t>
      </w:r>
      <w:r w:rsidR="007216FF" w:rsidRPr="006314C9">
        <w:rPr>
          <w:lang w:val="en-GB"/>
        </w:rPr>
        <w:t xml:space="preserve"> still remain that should be overcome </w:t>
      </w:r>
      <w:r w:rsidRPr="006314C9">
        <w:rPr>
          <w:lang w:val="en-GB"/>
        </w:rPr>
        <w:t>between the IPH and NEA.</w:t>
      </w:r>
    </w:p>
    <w:p w:rsidR="00AF56D7" w:rsidRPr="006314C9" w:rsidRDefault="00AF56D7" w:rsidP="00E56877">
      <w:pPr>
        <w:rPr>
          <w:lang w:val="en-GB"/>
        </w:rPr>
      </w:pPr>
      <w:r w:rsidRPr="006314C9">
        <w:rPr>
          <w:lang w:val="en-GB"/>
        </w:rPr>
        <w:t>NEA publishes an annual report on the State of Environment</w:t>
      </w:r>
      <w:r w:rsidR="007216FF" w:rsidRPr="006314C9">
        <w:rPr>
          <w:lang w:val="en-GB"/>
        </w:rPr>
        <w:t xml:space="preserve"> where </w:t>
      </w:r>
      <w:r w:rsidRPr="006314C9">
        <w:rPr>
          <w:lang w:val="en-GB"/>
        </w:rPr>
        <w:t xml:space="preserve">special chapter is dedicated to Noise. There are 3 persons (head of sector and two </w:t>
      </w:r>
      <w:proofErr w:type="gramStart"/>
      <w:r w:rsidR="00D80B0D" w:rsidRPr="006314C9">
        <w:rPr>
          <w:lang w:val="en-GB"/>
        </w:rPr>
        <w:t>specialist</w:t>
      </w:r>
      <w:proofErr w:type="gramEnd"/>
      <w:r w:rsidRPr="006314C9">
        <w:rPr>
          <w:lang w:val="en-GB"/>
        </w:rPr>
        <w:t>) in the Sector of Environmental Quality, Directorate of State and Quality of Environment at NEA</w:t>
      </w:r>
      <w:r w:rsidR="0065545A" w:rsidRPr="006314C9">
        <w:rPr>
          <w:lang w:val="en-GB"/>
        </w:rPr>
        <w:t xml:space="preserve"> that are responsible for all monitoring requirements including noise</w:t>
      </w:r>
      <w:r w:rsidRPr="006314C9">
        <w:rPr>
          <w:lang w:val="en-GB"/>
        </w:rPr>
        <w:t>.</w:t>
      </w:r>
      <w:r w:rsidR="00D80B0D" w:rsidRPr="006314C9">
        <w:rPr>
          <w:lang w:val="en-GB"/>
        </w:rPr>
        <w:t xml:space="preserve"> There is </w:t>
      </w:r>
      <w:proofErr w:type="gramStart"/>
      <w:r w:rsidR="00D80B0D" w:rsidRPr="006314C9">
        <w:rPr>
          <w:lang w:val="en-GB"/>
        </w:rPr>
        <w:t>only one equipment</w:t>
      </w:r>
      <w:proofErr w:type="gramEnd"/>
      <w:r w:rsidR="00D80B0D" w:rsidRPr="006314C9">
        <w:rPr>
          <w:lang w:val="en-GB"/>
        </w:rPr>
        <w:t xml:space="preserve"> that NEA is using for monitoring and </w:t>
      </w:r>
      <w:r w:rsidR="0065545A" w:rsidRPr="006314C9">
        <w:rPr>
          <w:lang w:val="en-GB"/>
        </w:rPr>
        <w:t xml:space="preserve">considering that </w:t>
      </w:r>
      <w:r w:rsidR="00D80B0D" w:rsidRPr="006314C9">
        <w:rPr>
          <w:lang w:val="en-GB"/>
        </w:rPr>
        <w:t xml:space="preserve">the laboratory is not </w:t>
      </w:r>
      <w:r w:rsidR="0065545A" w:rsidRPr="006314C9">
        <w:rPr>
          <w:lang w:val="en-GB"/>
        </w:rPr>
        <w:t>accredited</w:t>
      </w:r>
      <w:r w:rsidR="00D80B0D" w:rsidRPr="006314C9">
        <w:rPr>
          <w:lang w:val="en-GB"/>
        </w:rPr>
        <w:t xml:space="preserve"> for noise monitoring</w:t>
      </w:r>
      <w:r w:rsidR="001C5B0C" w:rsidRPr="006314C9">
        <w:rPr>
          <w:lang w:val="en-GB"/>
        </w:rPr>
        <w:t>,</w:t>
      </w:r>
      <w:r w:rsidR="00D80B0D" w:rsidRPr="006314C9">
        <w:rPr>
          <w:lang w:val="en-GB"/>
        </w:rPr>
        <w:t xml:space="preserve"> the data remain indicative. </w:t>
      </w:r>
    </w:p>
    <w:p w:rsidR="00590337" w:rsidRPr="006314C9" w:rsidRDefault="00AF56D7">
      <w:pPr>
        <w:rPr>
          <w:lang w:val="en-GB"/>
        </w:rPr>
      </w:pPr>
      <w:r w:rsidRPr="006314C9">
        <w:rPr>
          <w:lang w:val="en-GB"/>
        </w:rPr>
        <w:t>The State Inspectorate of Environment, Forests, Water and Tourism</w:t>
      </w:r>
      <w:r w:rsidR="007216FF" w:rsidRPr="006314C9">
        <w:rPr>
          <w:lang w:val="en-GB"/>
        </w:rPr>
        <w:t xml:space="preserve"> with its</w:t>
      </w:r>
      <w:r w:rsidRPr="006314C9">
        <w:rPr>
          <w:lang w:val="en-GB"/>
        </w:rPr>
        <w:t xml:space="preserve"> 12 regional branches </w:t>
      </w:r>
      <w:r w:rsidR="007216FF" w:rsidRPr="006314C9">
        <w:rPr>
          <w:lang w:val="en-GB"/>
        </w:rPr>
        <w:t>and</w:t>
      </w:r>
      <w:r w:rsidRPr="006314C9">
        <w:rPr>
          <w:lang w:val="en-GB"/>
        </w:rPr>
        <w:t xml:space="preserve"> in total 99 environmental inspectors</w:t>
      </w:r>
      <w:r w:rsidR="007216FF" w:rsidRPr="006314C9">
        <w:rPr>
          <w:lang w:val="en-GB"/>
        </w:rPr>
        <w:t xml:space="preserve"> are responsible for noise control however almost no serious inspections is performed in this regards. </w:t>
      </w:r>
      <w:r w:rsidR="00D80B0D" w:rsidRPr="006314C9">
        <w:rPr>
          <w:lang w:val="en-GB"/>
        </w:rPr>
        <w:t>The National Inspectorate of Health is responsible for the control and law enforcement related the public health.</w:t>
      </w:r>
    </w:p>
    <w:p w:rsidR="00AF56D7" w:rsidRPr="006314C9" w:rsidRDefault="007216FF" w:rsidP="001C5B0C">
      <w:pPr>
        <w:rPr>
          <w:lang w:val="en-GB"/>
        </w:rPr>
      </w:pPr>
      <w:r w:rsidRPr="006314C9">
        <w:rPr>
          <w:lang w:val="en-GB"/>
        </w:rPr>
        <w:t xml:space="preserve">Many competencies in environmental noise management are under local level. Municipalities are responsible for development of </w:t>
      </w:r>
      <w:r w:rsidR="00361537" w:rsidRPr="006314C9">
        <w:rPr>
          <w:lang w:val="en-GB"/>
        </w:rPr>
        <w:t xml:space="preserve">Strategic </w:t>
      </w:r>
      <w:r w:rsidRPr="006314C9">
        <w:rPr>
          <w:lang w:val="en-GB"/>
        </w:rPr>
        <w:t xml:space="preserve">noise maps, action plans and </w:t>
      </w:r>
      <w:r w:rsidR="00361537" w:rsidRPr="006314C9">
        <w:rPr>
          <w:lang w:val="en-GB"/>
        </w:rPr>
        <w:t xml:space="preserve">program of measures. At this stage </w:t>
      </w:r>
      <w:r w:rsidR="00361537" w:rsidRPr="006314C9">
        <w:rPr>
          <w:lang w:val="en-GB"/>
        </w:rPr>
        <w:lastRenderedPageBreak/>
        <w:t>there is no structure at municipal level which is responsible for noise management. Only municipal police officers ha</w:t>
      </w:r>
      <w:r w:rsidR="0065545A" w:rsidRPr="006314C9">
        <w:rPr>
          <w:lang w:val="en-GB"/>
        </w:rPr>
        <w:t xml:space="preserve">d made some </w:t>
      </w:r>
      <w:r w:rsidR="00361537" w:rsidRPr="006314C9">
        <w:rPr>
          <w:lang w:val="en-GB"/>
        </w:rPr>
        <w:t>intervention</w:t>
      </w:r>
      <w:r w:rsidR="0065545A" w:rsidRPr="006314C9">
        <w:rPr>
          <w:lang w:val="en-GB"/>
        </w:rPr>
        <w:t>s</w:t>
      </w:r>
      <w:r w:rsidR="00361537" w:rsidRPr="006314C9">
        <w:rPr>
          <w:lang w:val="en-GB"/>
        </w:rPr>
        <w:t xml:space="preserve"> for noise acciden</w:t>
      </w:r>
      <w:r w:rsidR="001C5B0C" w:rsidRPr="006314C9">
        <w:rPr>
          <w:lang w:val="en-GB"/>
        </w:rPr>
        <w:t xml:space="preserve">ts </w:t>
      </w:r>
      <w:r w:rsidR="00361537" w:rsidRPr="006314C9">
        <w:rPr>
          <w:lang w:val="en-GB"/>
        </w:rPr>
        <w:t xml:space="preserve">from </w:t>
      </w:r>
      <w:r w:rsidR="001C5B0C" w:rsidRPr="006314C9">
        <w:rPr>
          <w:lang w:val="en-GB"/>
        </w:rPr>
        <w:t>neighbourhoods</w:t>
      </w:r>
      <w:r w:rsidR="00361537" w:rsidRPr="006314C9">
        <w:rPr>
          <w:lang w:val="en-GB"/>
        </w:rPr>
        <w:t xml:space="preserve">. </w:t>
      </w:r>
    </w:p>
    <w:p w:rsidR="00267810" w:rsidRPr="006314C9" w:rsidRDefault="004C7C54" w:rsidP="001C5B0C">
      <w:pPr>
        <w:rPr>
          <w:lang w:val="en-GB"/>
        </w:rPr>
      </w:pPr>
      <w:r w:rsidRPr="006314C9">
        <w:rPr>
          <w:lang w:val="en-GB"/>
        </w:rPr>
        <w:t xml:space="preserve">It could be </w:t>
      </w:r>
      <w:proofErr w:type="spellStart"/>
      <w:r w:rsidR="001C5B0C" w:rsidRPr="006314C9">
        <w:rPr>
          <w:lang w:val="en-GB"/>
        </w:rPr>
        <w:t>concluded</w:t>
      </w:r>
      <w:r w:rsidRPr="006314C9">
        <w:rPr>
          <w:lang w:val="en-GB"/>
        </w:rPr>
        <w:t>that</w:t>
      </w:r>
      <w:proofErr w:type="spellEnd"/>
      <w:r w:rsidRPr="006314C9">
        <w:rPr>
          <w:lang w:val="en-GB"/>
        </w:rPr>
        <w:t xml:space="preserve"> there is almost no administrative capacity for implementation of noise legislation. It is an urgent need to establish at least the minimum structure in NEA for implementation of the legislation and to raise the awareness of the municipalities of their responsibilities in regards to noise management. </w:t>
      </w:r>
    </w:p>
    <w:p w:rsidR="00422F98" w:rsidRPr="006314C9" w:rsidRDefault="00422F98" w:rsidP="00152F5E">
      <w:pPr>
        <w:rPr>
          <w:rFonts w:cs="Times New Roman"/>
          <w:lang w:val="en-GB"/>
        </w:rPr>
      </w:pPr>
      <w:r w:rsidRPr="006314C9">
        <w:rPr>
          <w:rFonts w:cs="Times New Roman"/>
          <w:b/>
          <w:lang w:val="en-GB"/>
        </w:rPr>
        <w:t xml:space="preserve">Summary </w:t>
      </w:r>
    </w:p>
    <w:tbl>
      <w:tblPr>
        <w:tblW w:w="5000" w:type="pct"/>
        <w:tblInd w:w="113" w:type="dxa"/>
        <w:tblLayout w:type="fixed"/>
        <w:tblCellMar>
          <w:left w:w="113" w:type="dxa"/>
        </w:tblCellMar>
        <w:tblLook w:val="0000"/>
      </w:tblPr>
      <w:tblGrid>
        <w:gridCol w:w="2394"/>
        <w:gridCol w:w="2396"/>
        <w:gridCol w:w="2395"/>
        <w:gridCol w:w="2396"/>
      </w:tblGrid>
      <w:tr w:rsidR="00422F98" w:rsidRPr="006314C9" w:rsidTr="001C5B0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422F98" w:rsidRPr="006314C9" w:rsidRDefault="002F0A16" w:rsidP="00152F5E">
            <w:pPr>
              <w:spacing w:before="60" w:after="0"/>
              <w:contextualSpacing/>
              <w:jc w:val="center"/>
              <w:rPr>
                <w:rFonts w:cs="Times New Roman"/>
                <w:sz w:val="20"/>
                <w:szCs w:val="20"/>
                <w:lang w:val="en-GB"/>
              </w:rPr>
            </w:pPr>
            <w:r w:rsidRPr="006314C9">
              <w:rPr>
                <w:rFonts w:cs="Times New Roman"/>
                <w:b/>
                <w:sz w:val="20"/>
                <w:szCs w:val="20"/>
                <w:lang w:val="en-GB"/>
              </w:rPr>
              <w:t>Directive/regulation</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422F98" w:rsidRPr="006314C9" w:rsidRDefault="002F0A16" w:rsidP="00152F5E">
            <w:pPr>
              <w:spacing w:before="60" w:after="0"/>
              <w:contextualSpacing/>
              <w:jc w:val="center"/>
              <w:rPr>
                <w:rFonts w:cs="Times New Roman"/>
                <w:sz w:val="20"/>
                <w:szCs w:val="20"/>
                <w:lang w:val="en-GB"/>
              </w:rPr>
            </w:pPr>
            <w:r w:rsidRPr="006314C9">
              <w:rPr>
                <w:rFonts w:cs="Times New Roman"/>
                <w:b/>
                <w:sz w:val="20"/>
                <w:szCs w:val="20"/>
                <w:lang w:val="en-GB"/>
              </w:rPr>
              <w:t>Main competent authority</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422F98" w:rsidRPr="006314C9" w:rsidRDefault="002F0A16" w:rsidP="00152F5E">
            <w:pPr>
              <w:spacing w:before="60" w:after="0"/>
              <w:contextualSpacing/>
              <w:jc w:val="center"/>
              <w:rPr>
                <w:rFonts w:cs="Times New Roman"/>
                <w:sz w:val="20"/>
                <w:szCs w:val="20"/>
                <w:lang w:val="en-GB"/>
              </w:rPr>
            </w:pPr>
            <w:r w:rsidRPr="006314C9">
              <w:rPr>
                <w:rFonts w:cs="Times New Roman"/>
                <w:b/>
                <w:sz w:val="20"/>
                <w:szCs w:val="20"/>
                <w:lang w:val="en-GB"/>
              </w:rPr>
              <w:t>Level of transposition</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422F98" w:rsidRPr="006314C9" w:rsidRDefault="002F0A16" w:rsidP="00152F5E">
            <w:pPr>
              <w:spacing w:before="60" w:after="0"/>
              <w:contextualSpacing/>
              <w:jc w:val="center"/>
              <w:rPr>
                <w:rFonts w:cs="Times New Roman"/>
                <w:sz w:val="20"/>
                <w:szCs w:val="20"/>
                <w:lang w:val="en-GB"/>
              </w:rPr>
            </w:pPr>
            <w:r w:rsidRPr="006314C9">
              <w:rPr>
                <w:rFonts w:cs="Times New Roman"/>
                <w:b/>
                <w:sz w:val="20"/>
                <w:szCs w:val="20"/>
                <w:lang w:val="en-GB"/>
              </w:rPr>
              <w:t>Level of implementation</w:t>
            </w:r>
          </w:p>
        </w:tc>
      </w:tr>
      <w:tr w:rsidR="00422F98" w:rsidRPr="006314C9" w:rsidTr="001C5B0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422F98" w:rsidRPr="006314C9" w:rsidRDefault="002F0A16" w:rsidP="00B27FEA">
            <w:pPr>
              <w:spacing w:before="60" w:after="0"/>
              <w:contextualSpacing/>
              <w:rPr>
                <w:rFonts w:cs="Times New Roman"/>
                <w:sz w:val="20"/>
                <w:szCs w:val="20"/>
                <w:lang w:val="en-GB"/>
              </w:rPr>
            </w:pPr>
            <w:r w:rsidRPr="006314C9">
              <w:rPr>
                <w:rFonts w:cs="Times New Roman"/>
                <w:sz w:val="20"/>
                <w:szCs w:val="20"/>
                <w:lang w:val="en-GB"/>
              </w:rPr>
              <w:t>2002/49/EC</w:t>
            </w:r>
          </w:p>
          <w:p w:rsidR="00422F98" w:rsidRPr="006314C9" w:rsidRDefault="00B95D6A" w:rsidP="007B0BC7">
            <w:pPr>
              <w:spacing w:before="60" w:after="0"/>
              <w:contextualSpacing/>
              <w:rPr>
                <w:rFonts w:cs="Times New Roman"/>
                <w:b/>
                <w:i/>
                <w:sz w:val="20"/>
                <w:szCs w:val="20"/>
                <w:lang w:val="en-GB"/>
              </w:rPr>
            </w:pPr>
            <w:r w:rsidRPr="006314C9">
              <w:rPr>
                <w:rFonts w:cs="Times New Roman"/>
                <w:b/>
                <w:i/>
                <w:sz w:val="20"/>
                <w:szCs w:val="20"/>
                <w:lang w:val="en-GB"/>
              </w:rPr>
              <w:t>Environmental Noise</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422F98" w:rsidRPr="006314C9" w:rsidRDefault="002F0A16" w:rsidP="00152F5E">
            <w:pPr>
              <w:spacing w:before="60" w:after="0"/>
              <w:contextualSpacing/>
              <w:rPr>
                <w:rFonts w:cs="Times New Roman"/>
                <w:sz w:val="20"/>
                <w:szCs w:val="20"/>
                <w:lang w:val="en-GB"/>
              </w:rPr>
            </w:pPr>
            <w:r w:rsidRPr="006314C9">
              <w:rPr>
                <w:rFonts w:cs="Times New Roman"/>
                <w:sz w:val="20"/>
                <w:szCs w:val="20"/>
                <w:lang w:val="en-GB"/>
              </w:rPr>
              <w:t>MTE</w:t>
            </w:r>
          </w:p>
          <w:p w:rsidR="00422F98" w:rsidRPr="006314C9" w:rsidRDefault="00422F98" w:rsidP="00152F5E">
            <w:pPr>
              <w:spacing w:before="60" w:after="0"/>
              <w:contextualSpacing/>
              <w:rPr>
                <w:rFonts w:cs="Times New Roman"/>
                <w:sz w:val="20"/>
                <w:szCs w:val="20"/>
                <w:lang w:val="en-GB"/>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422F98" w:rsidRPr="006314C9" w:rsidRDefault="002F0A16" w:rsidP="00152F5E">
            <w:pPr>
              <w:spacing w:before="60" w:after="0"/>
              <w:contextualSpacing/>
              <w:rPr>
                <w:rFonts w:cs="Times New Roman"/>
                <w:sz w:val="20"/>
                <w:szCs w:val="20"/>
                <w:lang w:val="en-GB"/>
              </w:rPr>
            </w:pPr>
            <w:r w:rsidRPr="006314C9">
              <w:rPr>
                <w:rFonts w:cs="Times New Roman"/>
                <w:sz w:val="20"/>
                <w:szCs w:val="20"/>
                <w:lang w:val="en-GB"/>
              </w:rPr>
              <w:t>Advanced;</w:t>
            </w:r>
          </w:p>
          <w:p w:rsidR="00422F98" w:rsidRPr="006314C9" w:rsidRDefault="00F72541" w:rsidP="00152F5E">
            <w:pPr>
              <w:spacing w:before="60" w:after="0"/>
              <w:contextualSpacing/>
              <w:rPr>
                <w:rFonts w:cs="Times New Roman"/>
                <w:sz w:val="20"/>
                <w:szCs w:val="20"/>
                <w:lang w:val="en-GB"/>
              </w:rPr>
            </w:pPr>
            <w:r w:rsidRPr="006314C9">
              <w:rPr>
                <w:rFonts w:cs="Times New Roman"/>
                <w:sz w:val="20"/>
                <w:szCs w:val="20"/>
                <w:lang w:val="en-GB"/>
              </w:rPr>
              <w:t>86</w:t>
            </w:r>
            <w:r w:rsidR="002F0A16" w:rsidRPr="006314C9">
              <w:rPr>
                <w:rFonts w:cs="Times New Roman"/>
                <w:sz w:val="20"/>
                <w:szCs w:val="20"/>
                <w:lang w:val="en-GB"/>
              </w:rPr>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422F98" w:rsidRPr="006314C9" w:rsidRDefault="002F0A16" w:rsidP="00152F5E">
            <w:pPr>
              <w:spacing w:before="60" w:after="0"/>
              <w:contextualSpacing/>
              <w:rPr>
                <w:rFonts w:cs="Times New Roman"/>
                <w:sz w:val="20"/>
                <w:szCs w:val="20"/>
                <w:lang w:val="en-GB"/>
              </w:rPr>
            </w:pPr>
            <w:r w:rsidRPr="006314C9">
              <w:rPr>
                <w:rFonts w:cs="Times New Roman"/>
                <w:sz w:val="20"/>
                <w:szCs w:val="20"/>
                <w:lang w:val="en-GB"/>
              </w:rPr>
              <w:t>Initial</w:t>
            </w:r>
            <w:r w:rsidR="00F72541" w:rsidRPr="006314C9">
              <w:rPr>
                <w:rFonts w:cs="Times New Roman"/>
                <w:sz w:val="20"/>
                <w:szCs w:val="20"/>
                <w:lang w:val="en-GB"/>
              </w:rPr>
              <w:t xml:space="preserve"> stage</w:t>
            </w:r>
          </w:p>
          <w:p w:rsidR="00422F98" w:rsidRPr="006314C9" w:rsidRDefault="00422F98" w:rsidP="00152F5E">
            <w:pPr>
              <w:keepNext/>
              <w:keepLines/>
              <w:spacing w:before="60" w:after="0"/>
              <w:contextualSpacing/>
              <w:outlineLvl w:val="2"/>
              <w:rPr>
                <w:rFonts w:cs="Times New Roman"/>
                <w:sz w:val="20"/>
                <w:szCs w:val="20"/>
                <w:lang w:val="en-GB"/>
              </w:rPr>
            </w:pPr>
          </w:p>
        </w:tc>
      </w:tr>
    </w:tbl>
    <w:p w:rsidR="00422F98" w:rsidRPr="006314C9" w:rsidRDefault="00422F98" w:rsidP="00B27FEA">
      <w:pPr>
        <w:rPr>
          <w:rFonts w:cs="Times New Roman"/>
          <w:lang w:val="en-GB"/>
        </w:rPr>
      </w:pPr>
    </w:p>
    <w:p w:rsidR="0056714A" w:rsidRPr="006314C9" w:rsidRDefault="0056714A" w:rsidP="00B27FEA">
      <w:pPr>
        <w:pStyle w:val="Heading1"/>
        <w:numPr>
          <w:ilvl w:val="0"/>
          <w:numId w:val="0"/>
        </w:numPr>
        <w:jc w:val="center"/>
        <w:rPr>
          <w:rFonts w:cs="Times New Roman"/>
          <w:szCs w:val="22"/>
          <w:lang w:val="en-GB"/>
        </w:rPr>
      </w:pPr>
      <w:bookmarkStart w:id="22" w:name="_Toc13998215"/>
      <w:bookmarkStart w:id="23" w:name="_Toc13998286"/>
      <w:bookmarkStart w:id="24" w:name="_Toc13998334"/>
      <w:bookmarkStart w:id="25" w:name="_Toc13998479"/>
      <w:bookmarkStart w:id="26" w:name="_Toc13998527"/>
      <w:bookmarkStart w:id="27" w:name="_Toc13998592"/>
      <w:bookmarkStart w:id="28" w:name="_Toc13998640"/>
      <w:bookmarkStart w:id="29" w:name="_Toc13998688"/>
      <w:bookmarkStart w:id="30" w:name="_Toc13998737"/>
      <w:bookmarkStart w:id="31" w:name="_Toc13998930"/>
      <w:bookmarkStart w:id="32" w:name="_Toc13999016"/>
      <w:bookmarkStart w:id="33" w:name="_Toc13999096"/>
      <w:bookmarkStart w:id="34" w:name="_Toc13999144"/>
      <w:bookmarkStart w:id="35" w:name="_Toc13999453"/>
      <w:bookmarkStart w:id="36" w:name="_Toc13998216"/>
      <w:bookmarkStart w:id="37" w:name="_Toc13998287"/>
      <w:bookmarkStart w:id="38" w:name="_Toc13998335"/>
      <w:bookmarkStart w:id="39" w:name="_Toc13998480"/>
      <w:bookmarkStart w:id="40" w:name="_Toc13998528"/>
      <w:bookmarkStart w:id="41" w:name="_Toc13998593"/>
      <w:bookmarkStart w:id="42" w:name="_Toc13998641"/>
      <w:bookmarkStart w:id="43" w:name="_Toc13998689"/>
      <w:bookmarkStart w:id="44" w:name="_Toc13998738"/>
      <w:bookmarkStart w:id="45" w:name="_Toc13998931"/>
      <w:bookmarkStart w:id="46" w:name="_Toc13999017"/>
      <w:bookmarkStart w:id="47" w:name="_Toc13999097"/>
      <w:bookmarkStart w:id="48" w:name="_Toc13999145"/>
      <w:bookmarkStart w:id="49" w:name="_Toc13999454"/>
      <w:bookmarkStart w:id="50" w:name="_Toc13998217"/>
      <w:bookmarkStart w:id="51" w:name="_Toc13998288"/>
      <w:bookmarkStart w:id="52" w:name="_Toc13998336"/>
      <w:bookmarkStart w:id="53" w:name="_Toc13998481"/>
      <w:bookmarkStart w:id="54" w:name="_Toc13998529"/>
      <w:bookmarkStart w:id="55" w:name="_Toc13998594"/>
      <w:bookmarkStart w:id="56" w:name="_Toc13998642"/>
      <w:bookmarkStart w:id="57" w:name="_Toc13998690"/>
      <w:bookmarkStart w:id="58" w:name="_Toc13998739"/>
      <w:bookmarkStart w:id="59" w:name="_Toc13998932"/>
      <w:bookmarkStart w:id="60" w:name="_Toc13999018"/>
      <w:bookmarkStart w:id="61" w:name="_Toc13999098"/>
      <w:bookmarkStart w:id="62" w:name="_Toc13999146"/>
      <w:bookmarkStart w:id="63" w:name="_Toc13999455"/>
      <w:bookmarkStart w:id="64" w:name="_Toc13998218"/>
      <w:bookmarkStart w:id="65" w:name="_Toc13998289"/>
      <w:bookmarkStart w:id="66" w:name="_Toc13998337"/>
      <w:bookmarkStart w:id="67" w:name="_Toc13998482"/>
      <w:bookmarkStart w:id="68" w:name="_Toc13998530"/>
      <w:bookmarkStart w:id="69" w:name="_Toc13998595"/>
      <w:bookmarkStart w:id="70" w:name="_Toc13998643"/>
      <w:bookmarkStart w:id="71" w:name="_Toc13998691"/>
      <w:bookmarkStart w:id="72" w:name="_Toc13998740"/>
      <w:bookmarkStart w:id="73" w:name="_Toc13998933"/>
      <w:bookmarkStart w:id="74" w:name="_Toc13999019"/>
      <w:bookmarkStart w:id="75" w:name="_Toc13999099"/>
      <w:bookmarkStart w:id="76" w:name="_Toc13999147"/>
      <w:bookmarkStart w:id="77" w:name="_Toc13999456"/>
      <w:bookmarkStart w:id="78" w:name="_Toc13998219"/>
      <w:bookmarkStart w:id="79" w:name="_Toc13998290"/>
      <w:bookmarkStart w:id="80" w:name="_Toc13998338"/>
      <w:bookmarkStart w:id="81" w:name="_Toc13998483"/>
      <w:bookmarkStart w:id="82" w:name="_Toc13998531"/>
      <w:bookmarkStart w:id="83" w:name="_Toc13998596"/>
      <w:bookmarkStart w:id="84" w:name="_Toc13998644"/>
      <w:bookmarkStart w:id="85" w:name="_Toc13998692"/>
      <w:bookmarkStart w:id="86" w:name="_Toc13998741"/>
      <w:bookmarkStart w:id="87" w:name="_Toc13998934"/>
      <w:bookmarkStart w:id="88" w:name="_Toc13999020"/>
      <w:bookmarkStart w:id="89" w:name="_Toc13999100"/>
      <w:bookmarkStart w:id="90" w:name="_Toc13999148"/>
      <w:bookmarkStart w:id="91" w:name="_Toc13999457"/>
      <w:bookmarkStart w:id="92" w:name="_Toc13998220"/>
      <w:bookmarkStart w:id="93" w:name="_Toc13998291"/>
      <w:bookmarkStart w:id="94" w:name="_Toc13998339"/>
      <w:bookmarkStart w:id="95" w:name="_Toc13998484"/>
      <w:bookmarkStart w:id="96" w:name="_Toc13998532"/>
      <w:bookmarkStart w:id="97" w:name="_Toc13998597"/>
      <w:bookmarkStart w:id="98" w:name="_Toc13998645"/>
      <w:bookmarkStart w:id="99" w:name="_Toc13998693"/>
      <w:bookmarkStart w:id="100" w:name="_Toc13998742"/>
      <w:bookmarkStart w:id="101" w:name="_Toc13998935"/>
      <w:bookmarkStart w:id="102" w:name="_Toc13999021"/>
      <w:bookmarkStart w:id="103" w:name="_Toc13999101"/>
      <w:bookmarkStart w:id="104" w:name="_Toc13999149"/>
      <w:bookmarkStart w:id="105" w:name="_Toc13999458"/>
      <w:bookmarkStart w:id="106" w:name="_Toc13998221"/>
      <w:bookmarkStart w:id="107" w:name="_Toc13998292"/>
      <w:bookmarkStart w:id="108" w:name="_Toc13998340"/>
      <w:bookmarkStart w:id="109" w:name="_Toc13998485"/>
      <w:bookmarkStart w:id="110" w:name="_Toc13998533"/>
      <w:bookmarkStart w:id="111" w:name="_Toc13998598"/>
      <w:bookmarkStart w:id="112" w:name="_Toc13998646"/>
      <w:bookmarkStart w:id="113" w:name="_Toc13998694"/>
      <w:bookmarkStart w:id="114" w:name="_Toc13998743"/>
      <w:bookmarkStart w:id="115" w:name="_Toc13998936"/>
      <w:bookmarkStart w:id="116" w:name="_Toc13999022"/>
      <w:bookmarkStart w:id="117" w:name="_Toc13999102"/>
      <w:bookmarkStart w:id="118" w:name="_Toc13999150"/>
      <w:bookmarkStart w:id="119" w:name="_Toc13999459"/>
      <w:bookmarkStart w:id="120" w:name="_Toc13998222"/>
      <w:bookmarkStart w:id="121" w:name="_Toc13998293"/>
      <w:bookmarkStart w:id="122" w:name="_Toc13998341"/>
      <w:bookmarkStart w:id="123" w:name="_Toc13998486"/>
      <w:bookmarkStart w:id="124" w:name="_Toc13998534"/>
      <w:bookmarkStart w:id="125" w:name="_Toc13998599"/>
      <w:bookmarkStart w:id="126" w:name="_Toc13998647"/>
      <w:bookmarkStart w:id="127" w:name="_Toc13998695"/>
      <w:bookmarkStart w:id="128" w:name="_Toc13998744"/>
      <w:bookmarkStart w:id="129" w:name="_Toc13998937"/>
      <w:bookmarkStart w:id="130" w:name="_Toc13999023"/>
      <w:bookmarkStart w:id="131" w:name="_Toc13999103"/>
      <w:bookmarkStart w:id="132" w:name="_Toc13999151"/>
      <w:bookmarkStart w:id="133" w:name="_Toc13999460"/>
      <w:bookmarkStart w:id="134" w:name="_Toc13998223"/>
      <w:bookmarkStart w:id="135" w:name="_Toc13998294"/>
      <w:bookmarkStart w:id="136" w:name="_Toc13998342"/>
      <w:bookmarkStart w:id="137" w:name="_Toc13998487"/>
      <w:bookmarkStart w:id="138" w:name="_Toc13998535"/>
      <w:bookmarkStart w:id="139" w:name="_Toc13998600"/>
      <w:bookmarkStart w:id="140" w:name="_Toc13998648"/>
      <w:bookmarkStart w:id="141" w:name="_Toc13998696"/>
      <w:bookmarkStart w:id="142" w:name="_Toc13998745"/>
      <w:bookmarkStart w:id="143" w:name="_Toc13998938"/>
      <w:bookmarkStart w:id="144" w:name="_Toc13999024"/>
      <w:bookmarkStart w:id="145" w:name="_Toc13999104"/>
      <w:bookmarkStart w:id="146" w:name="_Toc13999152"/>
      <w:bookmarkStart w:id="147" w:name="_Toc13999461"/>
      <w:bookmarkStart w:id="148" w:name="_Toc13998224"/>
      <w:bookmarkStart w:id="149" w:name="_Toc13998295"/>
      <w:bookmarkStart w:id="150" w:name="_Toc13998343"/>
      <w:bookmarkStart w:id="151" w:name="_Toc13998488"/>
      <w:bookmarkStart w:id="152" w:name="_Toc13998536"/>
      <w:bookmarkStart w:id="153" w:name="_Toc13998601"/>
      <w:bookmarkStart w:id="154" w:name="_Toc13998649"/>
      <w:bookmarkStart w:id="155" w:name="_Toc13998697"/>
      <w:bookmarkStart w:id="156" w:name="_Toc13998746"/>
      <w:bookmarkStart w:id="157" w:name="_Toc13998939"/>
      <w:bookmarkStart w:id="158" w:name="_Toc13999025"/>
      <w:bookmarkStart w:id="159" w:name="_Toc13999105"/>
      <w:bookmarkStart w:id="160" w:name="_Toc13999153"/>
      <w:bookmarkStart w:id="161" w:name="_Toc13999462"/>
      <w:bookmarkStart w:id="162" w:name="_Toc13998225"/>
      <w:bookmarkStart w:id="163" w:name="_Toc13998296"/>
      <w:bookmarkStart w:id="164" w:name="_Toc13998344"/>
      <w:bookmarkStart w:id="165" w:name="_Toc13998489"/>
      <w:bookmarkStart w:id="166" w:name="_Toc13998537"/>
      <w:bookmarkStart w:id="167" w:name="_Toc13998602"/>
      <w:bookmarkStart w:id="168" w:name="_Toc13998650"/>
      <w:bookmarkStart w:id="169" w:name="_Toc13998698"/>
      <w:bookmarkStart w:id="170" w:name="_Toc13998747"/>
      <w:bookmarkStart w:id="171" w:name="_Toc13998940"/>
      <w:bookmarkStart w:id="172" w:name="_Toc13999026"/>
      <w:bookmarkStart w:id="173" w:name="_Toc13999106"/>
      <w:bookmarkStart w:id="174" w:name="_Toc13999154"/>
      <w:bookmarkStart w:id="175" w:name="_Toc13999463"/>
      <w:bookmarkStart w:id="176" w:name="_Toc13998226"/>
      <w:bookmarkStart w:id="177" w:name="_Toc13998297"/>
      <w:bookmarkStart w:id="178" w:name="_Toc13998345"/>
      <w:bookmarkStart w:id="179" w:name="_Toc13998490"/>
      <w:bookmarkStart w:id="180" w:name="_Toc13998538"/>
      <w:bookmarkStart w:id="181" w:name="_Toc13998603"/>
      <w:bookmarkStart w:id="182" w:name="_Toc13998651"/>
      <w:bookmarkStart w:id="183" w:name="_Toc13998699"/>
      <w:bookmarkStart w:id="184" w:name="_Toc13998748"/>
      <w:bookmarkStart w:id="185" w:name="_Toc13998941"/>
      <w:bookmarkStart w:id="186" w:name="_Toc13999027"/>
      <w:bookmarkStart w:id="187" w:name="_Toc13999107"/>
      <w:bookmarkStart w:id="188" w:name="_Toc13999155"/>
      <w:bookmarkStart w:id="189" w:name="_Toc13999464"/>
      <w:bookmarkStart w:id="190" w:name="_Toc13998227"/>
      <w:bookmarkStart w:id="191" w:name="_Toc13998298"/>
      <w:bookmarkStart w:id="192" w:name="_Toc13998346"/>
      <w:bookmarkStart w:id="193" w:name="_Toc13998491"/>
      <w:bookmarkStart w:id="194" w:name="_Toc13998539"/>
      <w:bookmarkStart w:id="195" w:name="_Toc13998604"/>
      <w:bookmarkStart w:id="196" w:name="_Toc13998652"/>
      <w:bookmarkStart w:id="197" w:name="_Toc13998700"/>
      <w:bookmarkStart w:id="198" w:name="_Toc13998749"/>
      <w:bookmarkStart w:id="199" w:name="_Toc13998942"/>
      <w:bookmarkStart w:id="200" w:name="_Toc13999028"/>
      <w:bookmarkStart w:id="201" w:name="_Toc13999108"/>
      <w:bookmarkStart w:id="202" w:name="_Toc13999156"/>
      <w:bookmarkStart w:id="203" w:name="_Toc13999465"/>
      <w:bookmarkStart w:id="204" w:name="_Toc13998228"/>
      <w:bookmarkStart w:id="205" w:name="_Toc13998299"/>
      <w:bookmarkStart w:id="206" w:name="_Toc13998347"/>
      <w:bookmarkStart w:id="207" w:name="_Toc13998492"/>
      <w:bookmarkStart w:id="208" w:name="_Toc13998540"/>
      <w:bookmarkStart w:id="209" w:name="_Toc13998605"/>
      <w:bookmarkStart w:id="210" w:name="_Toc13998653"/>
      <w:bookmarkStart w:id="211" w:name="_Toc13998701"/>
      <w:bookmarkStart w:id="212" w:name="_Toc13998750"/>
      <w:bookmarkStart w:id="213" w:name="_Toc13998943"/>
      <w:bookmarkStart w:id="214" w:name="_Toc13999029"/>
      <w:bookmarkStart w:id="215" w:name="_Toc13999109"/>
      <w:bookmarkStart w:id="216" w:name="_Toc13999157"/>
      <w:bookmarkStart w:id="217" w:name="_Toc13999466"/>
      <w:bookmarkStart w:id="218" w:name="_Toc13998229"/>
      <w:bookmarkStart w:id="219" w:name="_Toc13998300"/>
      <w:bookmarkStart w:id="220" w:name="_Toc13998348"/>
      <w:bookmarkStart w:id="221" w:name="_Toc13998493"/>
      <w:bookmarkStart w:id="222" w:name="_Toc13998541"/>
      <w:bookmarkStart w:id="223" w:name="_Toc13998606"/>
      <w:bookmarkStart w:id="224" w:name="_Toc13998654"/>
      <w:bookmarkStart w:id="225" w:name="_Toc13998702"/>
      <w:bookmarkStart w:id="226" w:name="_Toc13998751"/>
      <w:bookmarkStart w:id="227" w:name="_Toc13998944"/>
      <w:bookmarkStart w:id="228" w:name="_Toc13999030"/>
      <w:bookmarkStart w:id="229" w:name="_Toc13999110"/>
      <w:bookmarkStart w:id="230" w:name="_Toc13999158"/>
      <w:bookmarkStart w:id="231" w:name="_Toc13999467"/>
      <w:bookmarkStart w:id="232" w:name="_Toc13998230"/>
      <w:bookmarkStart w:id="233" w:name="_Toc13998301"/>
      <w:bookmarkStart w:id="234" w:name="_Toc13998349"/>
      <w:bookmarkStart w:id="235" w:name="_Toc13998494"/>
      <w:bookmarkStart w:id="236" w:name="_Toc13998542"/>
      <w:bookmarkStart w:id="237" w:name="_Toc13998607"/>
      <w:bookmarkStart w:id="238" w:name="_Toc13998655"/>
      <w:bookmarkStart w:id="239" w:name="_Toc13998703"/>
      <w:bookmarkStart w:id="240" w:name="_Toc13998752"/>
      <w:bookmarkStart w:id="241" w:name="_Toc13998945"/>
      <w:bookmarkStart w:id="242" w:name="_Toc13999031"/>
      <w:bookmarkStart w:id="243" w:name="_Toc13999111"/>
      <w:bookmarkStart w:id="244" w:name="_Toc13999159"/>
      <w:bookmarkStart w:id="245" w:name="_Toc13999468"/>
      <w:bookmarkStart w:id="246" w:name="_Toc13998231"/>
      <w:bookmarkStart w:id="247" w:name="_Toc13998302"/>
      <w:bookmarkStart w:id="248" w:name="_Toc13998350"/>
      <w:bookmarkStart w:id="249" w:name="_Toc13998495"/>
      <w:bookmarkStart w:id="250" w:name="_Toc13998543"/>
      <w:bookmarkStart w:id="251" w:name="_Toc13998608"/>
      <w:bookmarkStart w:id="252" w:name="_Toc13998656"/>
      <w:bookmarkStart w:id="253" w:name="_Toc13998704"/>
      <w:bookmarkStart w:id="254" w:name="_Toc13998753"/>
      <w:bookmarkStart w:id="255" w:name="_Toc13998946"/>
      <w:bookmarkStart w:id="256" w:name="_Toc13999032"/>
      <w:bookmarkStart w:id="257" w:name="_Toc13999112"/>
      <w:bookmarkStart w:id="258" w:name="_Toc13999160"/>
      <w:bookmarkStart w:id="259" w:name="_Toc13999469"/>
      <w:bookmarkStart w:id="260" w:name="_Toc13998232"/>
      <w:bookmarkStart w:id="261" w:name="_Toc13998303"/>
      <w:bookmarkStart w:id="262" w:name="_Toc13998351"/>
      <w:bookmarkStart w:id="263" w:name="_Toc13998496"/>
      <w:bookmarkStart w:id="264" w:name="_Toc13998544"/>
      <w:bookmarkStart w:id="265" w:name="_Toc13998609"/>
      <w:bookmarkStart w:id="266" w:name="_Toc13998657"/>
      <w:bookmarkStart w:id="267" w:name="_Toc13998705"/>
      <w:bookmarkStart w:id="268" w:name="_Toc13998754"/>
      <w:bookmarkStart w:id="269" w:name="_Toc13998947"/>
      <w:bookmarkStart w:id="270" w:name="_Toc13999033"/>
      <w:bookmarkStart w:id="271" w:name="_Toc13999113"/>
      <w:bookmarkStart w:id="272" w:name="_Toc13999161"/>
      <w:bookmarkStart w:id="273" w:name="_Toc13999470"/>
      <w:bookmarkStart w:id="274" w:name="_Toc2403151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6314C9">
        <w:rPr>
          <w:rFonts w:cs="Times New Roman"/>
          <w:szCs w:val="22"/>
          <w:lang w:val="en-GB"/>
        </w:rPr>
        <w:t>Sub- Chapter: Climate change</w:t>
      </w:r>
      <w:bookmarkEnd w:id="274"/>
    </w:p>
    <w:p w:rsidR="0056714A" w:rsidRPr="006314C9" w:rsidRDefault="0056714A" w:rsidP="007B0BC7">
      <w:pPr>
        <w:rPr>
          <w:rFonts w:cs="Times New Roman"/>
          <w:lang w:val="en-GB"/>
        </w:rPr>
      </w:pPr>
      <w:r w:rsidRPr="006314C9">
        <w:rPr>
          <w:rFonts w:cs="Times New Roman"/>
          <w:b/>
          <w:lang w:val="en-GB"/>
        </w:rPr>
        <w:t>Background information</w:t>
      </w:r>
    </w:p>
    <w:p w:rsidR="0056714A" w:rsidRPr="006314C9" w:rsidRDefault="0056714A" w:rsidP="007640EE">
      <w:pPr>
        <w:rPr>
          <w:lang w:val="en-GB"/>
        </w:rPr>
      </w:pPr>
      <w:r w:rsidRPr="006314C9">
        <w:rPr>
          <w:lang w:val="en-GB"/>
        </w:rPr>
        <w:t xml:space="preserve">The main aspects covered by the EU sub-chapter’s directives and regulations relate to actions on climate change such as moving towards low carbon economy; reduction of non-CO2 emissions, including fluorinated greenhouse gases; action on </w:t>
      </w:r>
      <w:proofErr w:type="spellStart"/>
      <w:r w:rsidRPr="006314C9">
        <w:rPr>
          <w:lang w:val="en-GB"/>
        </w:rPr>
        <w:t>hydrofluorocarbons</w:t>
      </w:r>
      <w:proofErr w:type="spellEnd"/>
      <w:r w:rsidRPr="006314C9">
        <w:rPr>
          <w:lang w:val="en-GB"/>
        </w:rPr>
        <w:t xml:space="preserve"> under the Montreal Protocol on substances that deplete the ozone layer; reducing the quantities of </w:t>
      </w:r>
      <w:proofErr w:type="spellStart"/>
      <w:r w:rsidRPr="006314C9">
        <w:rPr>
          <w:lang w:val="en-GB"/>
        </w:rPr>
        <w:t>hydrofluorocarbons</w:t>
      </w:r>
      <w:proofErr w:type="spellEnd"/>
      <w:r w:rsidRPr="006314C9">
        <w:rPr>
          <w:lang w:val="en-GB"/>
        </w:rPr>
        <w:t xml:space="preserve"> placed on the market, including its effects on the supply for equipment where the use of </w:t>
      </w:r>
      <w:proofErr w:type="spellStart"/>
      <w:r w:rsidRPr="006314C9">
        <w:rPr>
          <w:lang w:val="en-GB"/>
        </w:rPr>
        <w:t>hydrofluorocarbons</w:t>
      </w:r>
      <w:proofErr w:type="spellEnd"/>
      <w:r w:rsidRPr="006314C9">
        <w:rPr>
          <w:lang w:val="en-GB"/>
        </w:rPr>
        <w:t xml:space="preserve"> greenhouse gas emissions and for implementing the Kyoto Protocol. </w:t>
      </w:r>
    </w:p>
    <w:p w:rsidR="0056714A" w:rsidRPr="006314C9" w:rsidRDefault="0056714A" w:rsidP="007640EE">
      <w:pPr>
        <w:rPr>
          <w:lang w:val="en-GB"/>
        </w:rPr>
      </w:pPr>
      <w:r w:rsidRPr="006314C9">
        <w:rPr>
          <w:lang w:val="en-GB"/>
        </w:rPr>
        <w:t>The requirements of the directives and regulations under this chapter pay a special attention to aspects such as monitoring, reporting, regular assessment, certification and training. More in specific, this sub-chapter includes:</w:t>
      </w:r>
    </w:p>
    <w:p w:rsidR="0056714A" w:rsidRPr="006314C9" w:rsidRDefault="0056714A" w:rsidP="00152F5E">
      <w:pPr>
        <w:rPr>
          <w:rFonts w:cs="Times New Roman"/>
          <w:bCs/>
          <w:lang w:val="en-GB"/>
        </w:rPr>
      </w:pPr>
      <w:r w:rsidRPr="006314C9">
        <w:rPr>
          <w:rFonts w:cs="Times New Roman"/>
          <w:bCs/>
          <w:lang w:val="en-GB"/>
        </w:rPr>
        <w:t xml:space="preserve">- Directive 2003/87/EC </w:t>
      </w:r>
      <w:r w:rsidRPr="006314C9">
        <w:rPr>
          <w:rFonts w:cs="Times New Roman"/>
          <w:bCs/>
          <w:i/>
          <w:lang w:val="en-GB"/>
        </w:rPr>
        <w:t>establishing a scheme for greenhouse gas emission allowance trading within the Community</w:t>
      </w:r>
      <w:r w:rsidRPr="006314C9">
        <w:rPr>
          <w:rFonts w:cs="Times New Roman"/>
          <w:bCs/>
          <w:lang w:val="en-GB"/>
        </w:rPr>
        <w:t xml:space="preserve"> which establishes a scheme for greenhouse gas emission allowance trading within the Community, referred to as Community scheme, in order to promote reductions of greenhouse gas emissions in a cost-effective and economically efficient manner; </w:t>
      </w:r>
    </w:p>
    <w:p w:rsidR="0056714A" w:rsidRPr="006314C9" w:rsidRDefault="0056714A" w:rsidP="00152F5E">
      <w:pPr>
        <w:tabs>
          <w:tab w:val="left" w:pos="0"/>
        </w:tabs>
        <w:rPr>
          <w:rFonts w:cs="Times New Roman"/>
          <w:bCs/>
          <w:lang w:val="en-GB"/>
        </w:rPr>
      </w:pPr>
      <w:r w:rsidRPr="006314C9">
        <w:rPr>
          <w:rFonts w:cs="Times New Roman"/>
          <w:bCs/>
          <w:lang w:val="en-GB"/>
        </w:rPr>
        <w:t xml:space="preserve">- Directive 1999/94/EC </w:t>
      </w:r>
      <w:r w:rsidRPr="006314C9">
        <w:rPr>
          <w:rFonts w:cs="Times New Roman"/>
          <w:bCs/>
          <w:i/>
          <w:lang w:val="en-GB"/>
        </w:rPr>
        <w:t>on the availability of consumer information on fuel economy and CO2 emissions in respect of the marketing of new passenger cars</w:t>
      </w:r>
      <w:r w:rsidRPr="006314C9">
        <w:rPr>
          <w:rFonts w:cs="Times New Roman"/>
          <w:bCs/>
          <w:lang w:val="en-GB"/>
        </w:rPr>
        <w:t xml:space="preserve"> which aims to ensure that information relating to fuel economy and CO2 emissions of new passenger cars offered for sale or lease in the Community is made available to consumers in order to enable them to make an informed choice;</w:t>
      </w:r>
    </w:p>
    <w:p w:rsidR="0056714A" w:rsidRPr="006314C9" w:rsidRDefault="0056714A" w:rsidP="00152F5E">
      <w:pPr>
        <w:tabs>
          <w:tab w:val="left" w:pos="0"/>
        </w:tabs>
        <w:rPr>
          <w:rFonts w:cs="Times New Roman"/>
          <w:bCs/>
          <w:lang w:val="en-GB"/>
        </w:rPr>
      </w:pPr>
      <w:r w:rsidRPr="006314C9">
        <w:rPr>
          <w:rFonts w:cs="Times New Roman"/>
          <w:bCs/>
          <w:lang w:val="en-GB"/>
        </w:rPr>
        <w:t xml:space="preserve">- Directive 98/70/EC </w:t>
      </w:r>
      <w:r w:rsidRPr="006314C9">
        <w:rPr>
          <w:rFonts w:cs="Times New Roman"/>
          <w:bCs/>
          <w:i/>
          <w:lang w:val="en-GB"/>
        </w:rPr>
        <w:t xml:space="preserve">relating to </w:t>
      </w:r>
      <w:proofErr w:type="spellStart"/>
      <w:r w:rsidRPr="006314C9">
        <w:rPr>
          <w:rFonts w:cs="Times New Roman"/>
          <w:bCs/>
          <w:i/>
          <w:lang w:val="en-GB"/>
        </w:rPr>
        <w:t>thequality</w:t>
      </w:r>
      <w:proofErr w:type="spellEnd"/>
      <w:r w:rsidRPr="006314C9">
        <w:rPr>
          <w:rFonts w:cs="Times New Roman"/>
          <w:bCs/>
          <w:i/>
          <w:lang w:val="en-GB"/>
        </w:rPr>
        <w:t xml:space="preserve"> of petrol and diesel fuels</w:t>
      </w:r>
      <w:r w:rsidRPr="006314C9">
        <w:rPr>
          <w:rFonts w:cs="Times New Roman"/>
          <w:bCs/>
          <w:lang w:val="en-GB"/>
        </w:rPr>
        <w:t xml:space="preserve">, provides for technical specifications on health and environmental grounds for fuels to be used for vehicles equipped with positive-ignition and compression-ignition engines; </w:t>
      </w:r>
    </w:p>
    <w:p w:rsidR="0056714A" w:rsidRPr="006314C9" w:rsidRDefault="0056714A" w:rsidP="00152F5E">
      <w:pPr>
        <w:rPr>
          <w:rFonts w:cs="Times New Roman"/>
          <w:bCs/>
          <w:lang w:val="en-GB"/>
        </w:rPr>
      </w:pPr>
      <w:r w:rsidRPr="006314C9">
        <w:rPr>
          <w:rFonts w:eastAsiaTheme="minorHAnsi" w:cs="Times New Roman"/>
          <w:bCs/>
          <w:lang w:val="en-GB"/>
        </w:rPr>
        <w:t xml:space="preserve">- Directive 2009/31/EC </w:t>
      </w:r>
      <w:r w:rsidRPr="006314C9">
        <w:rPr>
          <w:rFonts w:cs="Times New Roman"/>
          <w:bCs/>
          <w:i/>
          <w:lang w:val="en-GB"/>
        </w:rPr>
        <w:t>on the geological storage of carbon dioxide</w:t>
      </w:r>
      <w:r w:rsidRPr="006314C9">
        <w:rPr>
          <w:rFonts w:cs="Times New Roman"/>
          <w:bCs/>
          <w:lang w:val="en-GB"/>
        </w:rPr>
        <w:t xml:space="preserve">, which establishes the legal framework for the environmentally safe geological storage of CO2 to contribute to the fight against climate change; </w:t>
      </w:r>
    </w:p>
    <w:p w:rsidR="0056714A" w:rsidRPr="006314C9" w:rsidRDefault="0056714A" w:rsidP="00152F5E">
      <w:pPr>
        <w:pStyle w:val="EndnoteText"/>
        <w:rPr>
          <w:bCs/>
          <w:sz w:val="22"/>
          <w:szCs w:val="22"/>
          <w:lang w:val="en-GB"/>
        </w:rPr>
      </w:pPr>
      <w:r w:rsidRPr="006314C9">
        <w:rPr>
          <w:rFonts w:eastAsiaTheme="minorHAnsi"/>
          <w:bCs/>
          <w:sz w:val="22"/>
          <w:szCs w:val="22"/>
          <w:lang w:val="en-GB"/>
        </w:rPr>
        <w:t xml:space="preserve">- Regulation (EU) No. 517/2014 </w:t>
      </w:r>
      <w:r w:rsidRPr="006314C9">
        <w:rPr>
          <w:bCs/>
          <w:i/>
          <w:sz w:val="22"/>
          <w:szCs w:val="22"/>
          <w:lang w:val="en-GB"/>
        </w:rPr>
        <w:t>on fluorinated greenhouse gases</w:t>
      </w:r>
      <w:r w:rsidRPr="006314C9">
        <w:rPr>
          <w:bCs/>
          <w:sz w:val="22"/>
          <w:szCs w:val="22"/>
          <w:lang w:val="en-GB"/>
        </w:rPr>
        <w:t xml:space="preserve"> which establishes rules </w:t>
      </w:r>
      <w:r w:rsidRPr="006314C9">
        <w:rPr>
          <w:rFonts w:eastAsiaTheme="minorEastAsia"/>
          <w:sz w:val="22"/>
          <w:szCs w:val="22"/>
          <w:lang w:val="en-GB"/>
        </w:rPr>
        <w:t xml:space="preserve">on containment, use, recovery and destruction of fluorinated greenhouse gasses; imposes conditions on the placing on the market of specific products and equipment that contain, or whose functioning relies upon fluorinated greenhouse gases; imposes conditions on specific use of fluorinated greenhouse gases as well as establishes quantitative limits for the placing on the market of </w:t>
      </w:r>
      <w:proofErr w:type="spellStart"/>
      <w:r w:rsidRPr="006314C9">
        <w:rPr>
          <w:rFonts w:eastAsiaTheme="minorEastAsia"/>
          <w:sz w:val="22"/>
          <w:szCs w:val="22"/>
          <w:lang w:val="en-GB"/>
        </w:rPr>
        <w:t>hydrofluorcarbons</w:t>
      </w:r>
      <w:proofErr w:type="spellEnd"/>
      <w:r w:rsidRPr="006314C9">
        <w:rPr>
          <w:rFonts w:eastAsiaTheme="minorEastAsia"/>
          <w:sz w:val="22"/>
          <w:szCs w:val="22"/>
          <w:lang w:val="en-GB"/>
        </w:rPr>
        <w:t>;</w:t>
      </w:r>
    </w:p>
    <w:p w:rsidR="0056714A" w:rsidRPr="006314C9" w:rsidRDefault="0056714A" w:rsidP="00152F5E">
      <w:pPr>
        <w:pStyle w:val="EndnoteText"/>
        <w:rPr>
          <w:rFonts w:eastAsiaTheme="minorHAnsi"/>
          <w:bCs/>
          <w:sz w:val="22"/>
          <w:szCs w:val="22"/>
          <w:lang w:val="en-GB"/>
        </w:rPr>
      </w:pPr>
      <w:r w:rsidRPr="006314C9">
        <w:rPr>
          <w:rFonts w:eastAsiaTheme="minorHAnsi"/>
          <w:bCs/>
          <w:sz w:val="22"/>
          <w:szCs w:val="22"/>
          <w:lang w:val="en-GB"/>
        </w:rPr>
        <w:t xml:space="preserve">- Regulation (EC) 1005/2009 </w:t>
      </w:r>
      <w:r w:rsidRPr="006314C9">
        <w:rPr>
          <w:rFonts w:eastAsiaTheme="minorHAnsi"/>
          <w:bCs/>
          <w:i/>
          <w:sz w:val="22"/>
          <w:szCs w:val="22"/>
          <w:lang w:val="en-GB"/>
        </w:rPr>
        <w:t>on substances that deplete the ozone layer</w:t>
      </w:r>
      <w:r w:rsidRPr="006314C9">
        <w:rPr>
          <w:rFonts w:eastAsiaTheme="minorHAnsi"/>
          <w:bCs/>
          <w:sz w:val="22"/>
          <w:szCs w:val="22"/>
          <w:lang w:val="en-GB"/>
        </w:rPr>
        <w:t xml:space="preserve"> which provides for rules on the </w:t>
      </w:r>
      <w:r w:rsidRPr="006314C9">
        <w:rPr>
          <w:rFonts w:eastAsiaTheme="minorHAnsi"/>
          <w:bCs/>
          <w:sz w:val="22"/>
          <w:szCs w:val="22"/>
          <w:lang w:val="en-GB"/>
        </w:rPr>
        <w:lastRenderedPageBreak/>
        <w:t>production, import, export, placing on the market, use, recovery, recycling, reclamation and destruction of substances that deplete the ozone layer, on the reporting of information related to those substances and on the import, export, placing on the market and use of products and equipment containing or relying on those substances;</w:t>
      </w:r>
    </w:p>
    <w:p w:rsidR="0056714A" w:rsidRPr="006314C9" w:rsidRDefault="0056714A" w:rsidP="00152F5E">
      <w:pPr>
        <w:pStyle w:val="Normal1"/>
        <w:shd w:val="clear" w:color="auto" w:fill="FFFFFF"/>
        <w:spacing w:before="95" w:beforeAutospacing="0" w:after="0" w:afterAutospacing="0"/>
        <w:jc w:val="both"/>
        <w:rPr>
          <w:rFonts w:eastAsiaTheme="minorHAnsi"/>
          <w:bCs/>
          <w:szCs w:val="22"/>
          <w:lang w:val="en-GB"/>
        </w:rPr>
      </w:pPr>
      <w:r w:rsidRPr="006314C9">
        <w:rPr>
          <w:rFonts w:eastAsiaTheme="minorHAnsi"/>
          <w:bCs/>
          <w:szCs w:val="22"/>
          <w:lang w:val="en-GB"/>
        </w:rPr>
        <w:t xml:space="preserve">- Regulation (EU) No 525/2013 </w:t>
      </w:r>
      <w:r w:rsidRPr="006314C9">
        <w:rPr>
          <w:rFonts w:eastAsiaTheme="minorHAnsi"/>
          <w:bCs/>
          <w:i/>
          <w:szCs w:val="22"/>
          <w:lang w:val="en-GB"/>
        </w:rPr>
        <w:t>on a mechanism for monitoring and reporting greenhouse gas emissions and for reporting other information at national and Union level relevant to climate change</w:t>
      </w:r>
      <w:r w:rsidRPr="006314C9">
        <w:rPr>
          <w:rFonts w:eastAsiaTheme="minorHAnsi"/>
          <w:bCs/>
          <w:szCs w:val="22"/>
          <w:lang w:val="en-GB"/>
        </w:rPr>
        <w:t xml:space="preserve">, </w:t>
      </w:r>
      <w:r w:rsidRPr="006314C9">
        <w:rPr>
          <w:rFonts w:eastAsiaTheme="minorHAnsi"/>
          <w:szCs w:val="22"/>
          <w:lang w:val="en-GB"/>
        </w:rPr>
        <w:t xml:space="preserve">which establishes </w:t>
      </w:r>
      <w:r w:rsidRPr="006314C9">
        <w:rPr>
          <w:szCs w:val="22"/>
          <w:lang w:val="en-GB"/>
        </w:rPr>
        <w:t xml:space="preserve">a mechanism </w:t>
      </w:r>
      <w:proofErr w:type="spellStart"/>
      <w:r w:rsidRPr="006314C9">
        <w:rPr>
          <w:szCs w:val="22"/>
          <w:lang w:val="en-GB"/>
        </w:rPr>
        <w:t>forensuring</w:t>
      </w:r>
      <w:proofErr w:type="spellEnd"/>
      <w:r w:rsidRPr="006314C9">
        <w:rPr>
          <w:szCs w:val="22"/>
          <w:lang w:val="en-GB"/>
        </w:rPr>
        <w:t xml:space="preserve"> the timeliness, transparency, accuracy, consistency, comparability and completeness of reporting by the Union and its Member States to the UNFCCC Secretariat</w:t>
      </w:r>
      <w:r w:rsidRPr="006314C9">
        <w:rPr>
          <w:rFonts w:eastAsiaTheme="minorHAnsi"/>
          <w:szCs w:val="22"/>
          <w:lang w:val="en-GB"/>
        </w:rPr>
        <w:t xml:space="preserve">; </w:t>
      </w:r>
      <w:r w:rsidRPr="006314C9">
        <w:rPr>
          <w:szCs w:val="22"/>
          <w:lang w:val="en-GB"/>
        </w:rPr>
        <w:t xml:space="preserve">reporting and verifying information relating to commitments of the Union and its Member States pursuant to the UNFCCC, to the Kyoto Protocol and to decisions adopted </w:t>
      </w:r>
      <w:proofErr w:type="spellStart"/>
      <w:r w:rsidRPr="006314C9">
        <w:rPr>
          <w:szCs w:val="22"/>
          <w:lang w:val="en-GB"/>
        </w:rPr>
        <w:t>thereunder</w:t>
      </w:r>
      <w:proofErr w:type="spellEnd"/>
      <w:r w:rsidRPr="006314C9">
        <w:rPr>
          <w:szCs w:val="22"/>
          <w:lang w:val="en-GB"/>
        </w:rPr>
        <w:t xml:space="preserve"> and evaluating progress towards meeting those commitments</w:t>
      </w:r>
      <w:r w:rsidRPr="006314C9">
        <w:rPr>
          <w:rFonts w:eastAsiaTheme="minorHAnsi"/>
          <w:szCs w:val="22"/>
          <w:lang w:val="en-GB"/>
        </w:rPr>
        <w:t xml:space="preserve">; </w:t>
      </w:r>
      <w:r w:rsidRPr="006314C9">
        <w:rPr>
          <w:szCs w:val="22"/>
          <w:lang w:val="en-GB"/>
        </w:rPr>
        <w:t xml:space="preserve">monitoring and reporting all anthropogenic emissions by sources and removals by sinks of greenhouse gases not controlled by the Montreal Protocol on substances that deplete the ozone layer in the Member States; </w:t>
      </w:r>
      <w:r w:rsidRPr="006314C9">
        <w:rPr>
          <w:rFonts w:eastAsiaTheme="minorHAnsi"/>
          <w:szCs w:val="22"/>
          <w:lang w:val="en-GB"/>
        </w:rPr>
        <w:t>monitoring, reporting, reviewing and verifying greenhouse gas emissions and other information pursuant to Article 6 of Decision No 406/2009/EC; reporting the use of revenue generated by auctioning allowances; monitoring and reporting on the actions taken by Member States to adapt to the inevitable consequences of climate change in a cost-effective manner; evaluating progress by the Member States towards meeting their obligations under Decision No 406/2009/EC;</w:t>
      </w:r>
    </w:p>
    <w:p w:rsidR="0056714A" w:rsidRPr="006314C9" w:rsidRDefault="0056714A" w:rsidP="00B27FEA">
      <w:pPr>
        <w:rPr>
          <w:rFonts w:cs="Times New Roman"/>
          <w:bCs/>
          <w:lang w:val="en-GB"/>
        </w:rPr>
      </w:pPr>
      <w:r w:rsidRPr="006314C9">
        <w:rPr>
          <w:rFonts w:cs="Times New Roman"/>
          <w:bCs/>
          <w:lang w:val="en-GB"/>
        </w:rPr>
        <w:t xml:space="preserve">- Regulation (EU) 510/2011 </w:t>
      </w:r>
      <w:r w:rsidRPr="006314C9">
        <w:rPr>
          <w:rFonts w:cs="Times New Roman"/>
          <w:bCs/>
          <w:i/>
          <w:lang w:val="en-GB"/>
        </w:rPr>
        <w:t>setting emission performance standards for new light commercial vehicles as part of the Union's integrated approach to reduce CO2 emissions from light-duty vehicles</w:t>
      </w:r>
      <w:r w:rsidRPr="006314C9">
        <w:rPr>
          <w:rFonts w:cs="Times New Roman"/>
          <w:bCs/>
          <w:lang w:val="en-GB"/>
        </w:rPr>
        <w:t xml:space="preserve"> which establishes CO2 emissions performance requirements for new light commercial vehicles;</w:t>
      </w:r>
    </w:p>
    <w:p w:rsidR="0056714A" w:rsidRPr="006314C9" w:rsidRDefault="0056714A" w:rsidP="007B0BC7">
      <w:pPr>
        <w:tabs>
          <w:tab w:val="left" w:pos="0"/>
        </w:tabs>
        <w:rPr>
          <w:rFonts w:cs="Times New Roman"/>
          <w:bCs/>
          <w:lang w:val="en-GB"/>
        </w:rPr>
      </w:pPr>
      <w:r w:rsidRPr="006314C9">
        <w:rPr>
          <w:rFonts w:cs="Times New Roman"/>
          <w:bCs/>
          <w:lang w:val="en-GB"/>
        </w:rPr>
        <w:t xml:space="preserve">- Regulation (EC) 443/2009 </w:t>
      </w:r>
      <w:r w:rsidRPr="006314C9">
        <w:rPr>
          <w:rFonts w:cs="Times New Roman"/>
          <w:bCs/>
          <w:i/>
          <w:lang w:val="en-GB"/>
        </w:rPr>
        <w:t>on setting emission performance standards for new passenger cars as part of the Community's integrated approach to reduce CO2 emissions from light-duty vehicles</w:t>
      </w:r>
      <w:r w:rsidRPr="006314C9">
        <w:rPr>
          <w:rFonts w:cs="Times New Roman"/>
          <w:bCs/>
          <w:lang w:val="en-GB"/>
        </w:rPr>
        <w:t xml:space="preserve">, which </w:t>
      </w:r>
      <w:r w:rsidRPr="006314C9">
        <w:rPr>
          <w:rFonts w:cs="Times New Roman"/>
          <w:lang w:val="en-GB"/>
        </w:rPr>
        <w:t xml:space="preserve">establishes </w:t>
      </w:r>
      <w:r w:rsidRPr="006314C9">
        <w:rPr>
          <w:rFonts w:cs="Times New Roman"/>
          <w:bCs/>
          <w:lang w:val="en-GB"/>
        </w:rPr>
        <w:t>CO2 emissions performance requirements for new passenger cars in order to ensure the proper functioning of the internal market and to achieve the overall objective of the European Community of 120 g CO2/km as average emissions for the new car fleet;</w:t>
      </w:r>
    </w:p>
    <w:p w:rsidR="0056714A" w:rsidRPr="006314C9" w:rsidRDefault="0056714A" w:rsidP="00152F5E">
      <w:pPr>
        <w:rPr>
          <w:rFonts w:cs="Times New Roman"/>
          <w:bCs/>
          <w:lang w:val="en-GB"/>
        </w:rPr>
      </w:pPr>
      <w:r w:rsidRPr="006314C9">
        <w:rPr>
          <w:rFonts w:cs="Times New Roman"/>
          <w:bCs/>
          <w:lang w:val="en-GB"/>
        </w:rPr>
        <w:t xml:space="preserve">- Decision No 406/2009/EC </w:t>
      </w:r>
      <w:r w:rsidRPr="006314C9">
        <w:rPr>
          <w:rFonts w:cs="Times New Roman"/>
          <w:bCs/>
          <w:i/>
          <w:lang w:val="en-GB"/>
        </w:rPr>
        <w:t>on greenhouse gas emission reduction commitments up to 2020</w:t>
      </w:r>
      <w:r w:rsidRPr="006314C9">
        <w:rPr>
          <w:rFonts w:cs="Times New Roman"/>
          <w:bCs/>
          <w:lang w:val="en-GB"/>
        </w:rPr>
        <w:t>, which lays down the minimum contribution of Member States to meeting the greenhouse gas emission reduction commitment of the Community for the period from 2013 to 2020 for greenhouse gas emissions covered by this Decision, and rules on making these contributions and for the evaluation thereof;</w:t>
      </w:r>
    </w:p>
    <w:p w:rsidR="0056714A" w:rsidRPr="006314C9" w:rsidRDefault="0056714A" w:rsidP="00152F5E">
      <w:pPr>
        <w:rPr>
          <w:rFonts w:cs="Times New Roman"/>
          <w:lang w:val="en-GB"/>
        </w:rPr>
      </w:pPr>
      <w:r w:rsidRPr="006314C9">
        <w:rPr>
          <w:rFonts w:cs="Times New Roman"/>
          <w:b/>
          <w:lang w:val="en-GB"/>
        </w:rPr>
        <w:t>Transposition</w:t>
      </w:r>
    </w:p>
    <w:p w:rsidR="0056714A" w:rsidRPr="006314C9" w:rsidRDefault="00D434C5" w:rsidP="00D434C5">
      <w:pPr>
        <w:rPr>
          <w:lang w:val="en-GB"/>
        </w:rPr>
      </w:pPr>
      <w:r w:rsidRPr="006314C9">
        <w:rPr>
          <w:lang w:val="en-GB"/>
        </w:rPr>
        <w:t>Alignment p</w:t>
      </w:r>
      <w:r w:rsidR="0056714A" w:rsidRPr="006314C9">
        <w:rPr>
          <w:lang w:val="en-GB"/>
        </w:rPr>
        <w:t xml:space="preserve">rocess for </w:t>
      </w:r>
      <w:proofErr w:type="gramStart"/>
      <w:r w:rsidR="0056714A" w:rsidRPr="006314C9">
        <w:rPr>
          <w:lang w:val="en-GB"/>
        </w:rPr>
        <w:t xml:space="preserve">this sub-chapter </w:t>
      </w:r>
      <w:r w:rsidRPr="006314C9">
        <w:rPr>
          <w:lang w:val="en-GB"/>
        </w:rPr>
        <w:t>requirements</w:t>
      </w:r>
      <w:proofErr w:type="gramEnd"/>
      <w:r w:rsidRPr="006314C9">
        <w:rPr>
          <w:lang w:val="en-GB"/>
        </w:rPr>
        <w:t xml:space="preserve"> </w:t>
      </w:r>
      <w:r w:rsidR="0056714A" w:rsidRPr="006314C9">
        <w:rPr>
          <w:lang w:val="en-GB"/>
        </w:rPr>
        <w:t xml:space="preserve">is still in </w:t>
      </w:r>
      <w:r w:rsidRPr="006314C9">
        <w:rPr>
          <w:lang w:val="en-GB"/>
        </w:rPr>
        <w:t xml:space="preserve">an </w:t>
      </w:r>
      <w:r w:rsidR="0056714A" w:rsidRPr="006314C9">
        <w:rPr>
          <w:lang w:val="en-GB"/>
        </w:rPr>
        <w:t xml:space="preserve">early stage. </w:t>
      </w:r>
    </w:p>
    <w:p w:rsidR="0056714A" w:rsidRPr="006314C9" w:rsidRDefault="0056714A" w:rsidP="00D434C5">
      <w:pPr>
        <w:rPr>
          <w:rFonts w:cs="Times New Roman"/>
          <w:lang w:val="en-GB"/>
        </w:rPr>
      </w:pPr>
      <w:r w:rsidRPr="006314C9">
        <w:rPr>
          <w:rFonts w:cs="Times New Roman"/>
          <w:lang w:val="en-GB"/>
        </w:rPr>
        <w:t xml:space="preserve">Albania has ratified the most recent amendment to the Montreal Protocol known as Kigali Amendment, the Kyoto protocol and is a state party to the Rio Convention on climate change. </w:t>
      </w:r>
    </w:p>
    <w:p w:rsidR="0056714A" w:rsidRPr="006314C9" w:rsidRDefault="00D434C5" w:rsidP="00D434C5">
      <w:pPr>
        <w:rPr>
          <w:rFonts w:cs="Times New Roman"/>
          <w:lang w:val="en-GB"/>
        </w:rPr>
      </w:pPr>
      <w:r w:rsidRPr="006314C9">
        <w:rPr>
          <w:rFonts w:cs="Times New Roman"/>
          <w:lang w:val="en-GB"/>
        </w:rPr>
        <w:t>T</w:t>
      </w:r>
      <w:r w:rsidR="0056714A" w:rsidRPr="006314C9">
        <w:rPr>
          <w:rFonts w:cs="Times New Roman"/>
          <w:lang w:val="en-GB"/>
        </w:rPr>
        <w:t xml:space="preserve">here is a draft law </w:t>
      </w:r>
      <w:r w:rsidRPr="006314C9">
        <w:rPr>
          <w:rFonts w:cs="Times New Roman"/>
          <w:lang w:val="en-GB"/>
        </w:rPr>
        <w:t xml:space="preserve">in an advance stage and awaiting the adoption by end of 2019which will partly transpose </w:t>
      </w:r>
      <w:r w:rsidR="0056714A" w:rsidRPr="006314C9">
        <w:rPr>
          <w:rFonts w:cs="Times New Roman"/>
          <w:lang w:val="en-GB"/>
        </w:rPr>
        <w:t xml:space="preserve">the Directive 2003/87/EC </w:t>
      </w:r>
      <w:r w:rsidR="00761E2D" w:rsidRPr="006314C9">
        <w:rPr>
          <w:rFonts w:cs="Times New Roman"/>
          <w:i/>
          <w:lang w:val="en-GB"/>
        </w:rPr>
        <w:t xml:space="preserve">Emission Trading System (EU ETS) </w:t>
      </w:r>
      <w:r w:rsidR="0056714A" w:rsidRPr="006314C9">
        <w:rPr>
          <w:rFonts w:cs="Times New Roman"/>
          <w:lang w:val="en-GB"/>
        </w:rPr>
        <w:t xml:space="preserve">as amended as well as align the Regulation (EU) No 525/2013 </w:t>
      </w:r>
      <w:r w:rsidR="0056714A" w:rsidRPr="006314C9">
        <w:rPr>
          <w:rFonts w:cs="Times New Roman"/>
          <w:i/>
          <w:lang w:val="en-GB"/>
        </w:rPr>
        <w:t xml:space="preserve">on </w:t>
      </w:r>
      <w:r w:rsidR="00761E2D" w:rsidRPr="006314C9">
        <w:rPr>
          <w:rFonts w:cs="Times New Roman"/>
          <w:i/>
          <w:lang w:val="en-GB"/>
        </w:rPr>
        <w:t>M</w:t>
      </w:r>
      <w:r w:rsidR="0056714A" w:rsidRPr="006314C9">
        <w:rPr>
          <w:rFonts w:cs="Times New Roman"/>
          <w:i/>
          <w:lang w:val="en-GB"/>
        </w:rPr>
        <w:t xml:space="preserve">onitoring </w:t>
      </w:r>
      <w:r w:rsidR="00761E2D" w:rsidRPr="006314C9">
        <w:rPr>
          <w:rFonts w:cs="Times New Roman"/>
          <w:i/>
          <w:lang w:val="en-GB"/>
        </w:rPr>
        <w:t>mechanism</w:t>
      </w:r>
      <w:r w:rsidR="0056714A" w:rsidRPr="006314C9">
        <w:rPr>
          <w:rFonts w:cs="Times New Roman"/>
          <w:lang w:val="en-GB"/>
        </w:rPr>
        <w:t xml:space="preserve">. The draft law aims to provide for a comprehensive legal and institutional framework in relation to actions to be undertaken towards climate at national level and in accordance with EU </w:t>
      </w:r>
      <w:proofErr w:type="spellStart"/>
      <w:r w:rsidR="0056714A" w:rsidRPr="006314C9">
        <w:rPr>
          <w:rFonts w:cs="Times New Roman"/>
          <w:lang w:val="en-GB"/>
        </w:rPr>
        <w:t>acquis</w:t>
      </w:r>
      <w:proofErr w:type="spellEnd"/>
      <w:r w:rsidR="0056714A" w:rsidRPr="006314C9">
        <w:rPr>
          <w:rFonts w:cs="Times New Roman"/>
          <w:lang w:val="en-GB"/>
        </w:rPr>
        <w:t xml:space="preserve"> on climate change, to contribute to global efforts towards climate change through </w:t>
      </w:r>
      <w:proofErr w:type="spellStart"/>
      <w:r w:rsidR="0056714A" w:rsidRPr="006314C9">
        <w:rPr>
          <w:rFonts w:cs="Times New Roman"/>
          <w:lang w:val="en-GB"/>
        </w:rPr>
        <w:t>fulfillment</w:t>
      </w:r>
      <w:proofErr w:type="spellEnd"/>
      <w:r w:rsidR="0056714A" w:rsidRPr="006314C9">
        <w:rPr>
          <w:rFonts w:cs="Times New Roman"/>
          <w:lang w:val="en-GB"/>
        </w:rPr>
        <w:t xml:space="preserve"> of country obligations as a party of the Convention, to speed up the adoption against climate changes by mitigating the harmful effects of climate changes as well as to contribute to reduction of the greenhouse gas emissions.   </w:t>
      </w:r>
    </w:p>
    <w:p w:rsidR="00590337" w:rsidRPr="006314C9" w:rsidRDefault="0056714A">
      <w:pPr>
        <w:rPr>
          <w:lang w:val="en-GB"/>
        </w:rPr>
      </w:pPr>
      <w:r w:rsidRPr="006314C9">
        <w:rPr>
          <w:lang w:val="en-GB"/>
        </w:rPr>
        <w:t xml:space="preserve">As regards the transposition of particular pieces of EU </w:t>
      </w:r>
      <w:proofErr w:type="spellStart"/>
      <w:r w:rsidRPr="006314C9">
        <w:rPr>
          <w:lang w:val="en-GB"/>
        </w:rPr>
        <w:t>acquis</w:t>
      </w:r>
      <w:proofErr w:type="spellEnd"/>
      <w:r w:rsidRPr="006314C9">
        <w:rPr>
          <w:lang w:val="en-GB"/>
        </w:rPr>
        <w:t xml:space="preserve"> under this sub-chapter, except for Regulation No. 517/2014 </w:t>
      </w:r>
      <w:r w:rsidRPr="006314C9">
        <w:rPr>
          <w:i/>
          <w:lang w:val="en-GB"/>
        </w:rPr>
        <w:t>on fluorinated greenhouse gases</w:t>
      </w:r>
      <w:r w:rsidRPr="006314C9">
        <w:rPr>
          <w:lang w:val="en-GB"/>
        </w:rPr>
        <w:t xml:space="preserve"> for which the level of alignment is advanced at more than 79%, the rest have not been transposed or transposed partially, less than 3</w:t>
      </w:r>
      <w:r w:rsidR="00761E2D" w:rsidRPr="006314C9">
        <w:rPr>
          <w:lang w:val="en-GB"/>
        </w:rPr>
        <w:t xml:space="preserve">0 </w:t>
      </w:r>
      <w:r w:rsidRPr="006314C9">
        <w:rPr>
          <w:lang w:val="en-GB"/>
        </w:rPr>
        <w:t>%. More specifically:</w:t>
      </w:r>
    </w:p>
    <w:p w:rsidR="00590337" w:rsidRPr="006314C9" w:rsidRDefault="0056714A">
      <w:pPr>
        <w:rPr>
          <w:lang w:val="en-GB"/>
        </w:rPr>
      </w:pPr>
      <w:r w:rsidRPr="006314C9">
        <w:rPr>
          <w:lang w:val="en-GB"/>
        </w:rPr>
        <w:lastRenderedPageBreak/>
        <w:t xml:space="preserve">Regulation No. 517/2014 </w:t>
      </w:r>
      <w:r w:rsidRPr="006314C9">
        <w:rPr>
          <w:i/>
          <w:lang w:val="en-GB"/>
        </w:rPr>
        <w:t>on fluorinated greenhouse gases</w:t>
      </w:r>
      <w:r w:rsidRPr="006314C9">
        <w:rPr>
          <w:lang w:val="en-GB"/>
        </w:rPr>
        <w:t xml:space="preserve"> has been aligned through DCM No. 865, dated 10.12.2014 “For the reduction and stabilization of fluorinated greenhouse gases” at the level of 79</w:t>
      </w:r>
      <w:proofErr w:type="gramStart"/>
      <w:r w:rsidRPr="006314C9">
        <w:rPr>
          <w:lang w:val="en-GB"/>
        </w:rPr>
        <w:t>,1</w:t>
      </w:r>
      <w:proofErr w:type="gramEnd"/>
      <w:r w:rsidRPr="006314C9">
        <w:rPr>
          <w:lang w:val="en-GB"/>
        </w:rPr>
        <w:t xml:space="preserve">%. </w:t>
      </w:r>
    </w:p>
    <w:p w:rsidR="00590337" w:rsidRPr="006314C9" w:rsidRDefault="0056714A">
      <w:pPr>
        <w:rPr>
          <w:lang w:val="en-GB"/>
        </w:rPr>
      </w:pPr>
      <w:r w:rsidRPr="006314C9">
        <w:rPr>
          <w:rFonts w:eastAsiaTheme="minorHAnsi"/>
          <w:bCs/>
          <w:lang w:val="en-GB"/>
        </w:rPr>
        <w:t xml:space="preserve">Regulation (EC) 1005/2009 on </w:t>
      </w:r>
      <w:r w:rsidR="00761E2D" w:rsidRPr="006314C9">
        <w:rPr>
          <w:rFonts w:eastAsiaTheme="minorHAnsi"/>
          <w:bCs/>
          <w:i/>
          <w:lang w:val="en-GB"/>
        </w:rPr>
        <w:t>Ozone Depleting Substances</w:t>
      </w:r>
      <w:r w:rsidRPr="006314C9">
        <w:rPr>
          <w:rFonts w:eastAsiaTheme="minorHAnsi"/>
          <w:bCs/>
          <w:lang w:val="en-GB"/>
        </w:rPr>
        <w:t xml:space="preserve"> was aligned in beginning of 2019 through </w:t>
      </w:r>
      <w:r w:rsidRPr="006314C9">
        <w:rPr>
          <w:lang w:val="en-GB"/>
        </w:rPr>
        <w:t>DCM No 10, dated 09.01.2019 “On the adoption of rules for the produce, import, export, placing in the market and use of ozone depleting substances as well as for the export, import, placing in the market and use of products and equipment containing these substances” at a level of 22</w:t>
      </w:r>
      <w:proofErr w:type="gramStart"/>
      <w:r w:rsidRPr="006314C9">
        <w:rPr>
          <w:lang w:val="en-GB"/>
        </w:rPr>
        <w:t>,7</w:t>
      </w:r>
      <w:proofErr w:type="gramEnd"/>
      <w:r w:rsidRPr="006314C9">
        <w:rPr>
          <w:lang w:val="en-GB"/>
        </w:rPr>
        <w:t xml:space="preserve">%. </w:t>
      </w:r>
    </w:p>
    <w:p w:rsidR="0056714A" w:rsidRPr="006314C9" w:rsidRDefault="0056714A" w:rsidP="00152F5E">
      <w:pPr>
        <w:spacing w:before="40" w:after="40"/>
        <w:rPr>
          <w:rFonts w:eastAsiaTheme="minorHAnsi" w:cs="Times New Roman"/>
          <w:bCs/>
          <w:lang w:val="en-GB"/>
        </w:rPr>
      </w:pPr>
      <w:r w:rsidRPr="006314C9">
        <w:rPr>
          <w:rFonts w:cs="Times New Roman"/>
          <w:bCs/>
          <w:lang w:val="en-GB"/>
        </w:rPr>
        <w:t xml:space="preserve">Directive 1999/94/EC </w:t>
      </w:r>
      <w:r w:rsidRPr="006314C9">
        <w:rPr>
          <w:rFonts w:cs="Times New Roman"/>
          <w:bCs/>
          <w:i/>
          <w:lang w:val="en-GB"/>
        </w:rPr>
        <w:t xml:space="preserve">CO2 emissions </w:t>
      </w:r>
      <w:r w:rsidR="00761E2D" w:rsidRPr="006314C9">
        <w:rPr>
          <w:rFonts w:cs="Times New Roman"/>
          <w:bCs/>
          <w:i/>
          <w:lang w:val="en-GB"/>
        </w:rPr>
        <w:t>from</w:t>
      </w:r>
      <w:r w:rsidRPr="006314C9">
        <w:rPr>
          <w:rFonts w:cs="Times New Roman"/>
          <w:bCs/>
          <w:i/>
          <w:lang w:val="en-GB"/>
        </w:rPr>
        <w:t xml:space="preserve"> cars</w:t>
      </w:r>
      <w:r w:rsidR="00761E2D" w:rsidRPr="006314C9">
        <w:rPr>
          <w:rFonts w:cs="Times New Roman"/>
          <w:bCs/>
          <w:i/>
          <w:lang w:val="en-GB"/>
        </w:rPr>
        <w:t xml:space="preserve"> and vans</w:t>
      </w:r>
      <w:r w:rsidRPr="006314C9">
        <w:rPr>
          <w:rFonts w:cs="Times New Roman"/>
          <w:bCs/>
          <w:lang w:val="en-GB"/>
        </w:rPr>
        <w:t xml:space="preserve"> and Directive 98/70/EC </w:t>
      </w:r>
      <w:r w:rsidR="00761E2D" w:rsidRPr="006314C9">
        <w:rPr>
          <w:rFonts w:cs="Times New Roman"/>
          <w:bCs/>
          <w:i/>
          <w:lang w:val="en-GB"/>
        </w:rPr>
        <w:t xml:space="preserve">on Fuel </w:t>
      </w:r>
      <w:r w:rsidRPr="006314C9">
        <w:rPr>
          <w:rFonts w:cs="Times New Roman"/>
          <w:bCs/>
          <w:i/>
          <w:lang w:val="en-GB"/>
        </w:rPr>
        <w:t>quality</w:t>
      </w:r>
      <w:r w:rsidRPr="006314C9">
        <w:rPr>
          <w:rFonts w:cs="Times New Roman"/>
          <w:bCs/>
          <w:lang w:val="en-GB"/>
        </w:rPr>
        <w:t>, respectively 15</w:t>
      </w:r>
      <w:proofErr w:type="gramStart"/>
      <w:r w:rsidRPr="006314C9">
        <w:rPr>
          <w:rFonts w:cs="Times New Roman"/>
          <w:bCs/>
          <w:lang w:val="en-GB"/>
        </w:rPr>
        <w:t>,6</w:t>
      </w:r>
      <w:proofErr w:type="gramEnd"/>
      <w:r w:rsidRPr="006314C9">
        <w:rPr>
          <w:rFonts w:cs="Times New Roman"/>
          <w:bCs/>
          <w:lang w:val="en-GB"/>
        </w:rPr>
        <w:t xml:space="preserve">% and 29%. </w:t>
      </w:r>
      <w:r w:rsidRPr="006314C9">
        <w:rPr>
          <w:rFonts w:cs="Times New Roman"/>
          <w:lang w:val="en-GB"/>
        </w:rPr>
        <w:t xml:space="preserve">The first Directive has been transposed through Law 8308 of 18.3.1998 ‘On road Transportation” as amended and Law No.8450 dt.24.1.1999 “On processing, transportation and trade of fuel and gasses” and the second on by Law no 8450 of 3.3.1999 “On the Processing, transportation and marketing of fuel, gas oil and the by-products”, as amended, Law no 9876 of 14.2.2008 “On Production, Transportation and Marketing of </w:t>
      </w:r>
      <w:proofErr w:type="spellStart"/>
      <w:r w:rsidRPr="006314C9">
        <w:rPr>
          <w:rFonts w:cs="Times New Roman"/>
          <w:lang w:val="en-GB"/>
        </w:rPr>
        <w:t>Biofuel</w:t>
      </w:r>
      <w:proofErr w:type="spellEnd"/>
      <w:r w:rsidRPr="006314C9">
        <w:rPr>
          <w:rFonts w:cs="Times New Roman"/>
          <w:lang w:val="en-GB"/>
        </w:rPr>
        <w:t xml:space="preserve"> and other renewable fuel for transportation” and DCM no 147, of 21/03/2007, “For the quality of gas, gasoline and diesel”. </w:t>
      </w:r>
      <w:r w:rsidR="00964735" w:rsidRPr="006314C9">
        <w:rPr>
          <w:rFonts w:cs="Times New Roman"/>
          <w:lang w:val="en-GB"/>
        </w:rPr>
        <w:t xml:space="preserve">It should be noted that above legislation </w:t>
      </w:r>
      <w:proofErr w:type="spellStart"/>
      <w:r w:rsidRPr="006314C9">
        <w:rPr>
          <w:rFonts w:cs="Times New Roman"/>
          <w:lang w:val="en-GB"/>
        </w:rPr>
        <w:t>mainly</w:t>
      </w:r>
      <w:r w:rsidR="00964735" w:rsidRPr="006314C9">
        <w:rPr>
          <w:rFonts w:cs="Times New Roman"/>
          <w:lang w:val="en-GB"/>
        </w:rPr>
        <w:t>are</w:t>
      </w:r>
      <w:proofErr w:type="spellEnd"/>
      <w:r w:rsidR="00964735" w:rsidRPr="006314C9">
        <w:rPr>
          <w:rFonts w:cs="Times New Roman"/>
          <w:lang w:val="en-GB"/>
        </w:rPr>
        <w:t xml:space="preserve"> transposing</w:t>
      </w:r>
      <w:r w:rsidRPr="006314C9">
        <w:rPr>
          <w:rFonts w:cs="Times New Roman"/>
          <w:lang w:val="en-GB"/>
        </w:rPr>
        <w:t xml:space="preserve"> some definitions from the directives.</w:t>
      </w:r>
    </w:p>
    <w:p w:rsidR="0056714A" w:rsidRPr="006314C9" w:rsidRDefault="0056714A" w:rsidP="00B27FEA">
      <w:pPr>
        <w:rPr>
          <w:rFonts w:cs="Times New Roman"/>
          <w:lang w:val="en-GB"/>
        </w:rPr>
      </w:pPr>
      <w:r w:rsidRPr="006314C9">
        <w:rPr>
          <w:rFonts w:cs="Times New Roman"/>
          <w:b/>
          <w:lang w:val="en-GB"/>
        </w:rPr>
        <w:t>Implementation</w:t>
      </w:r>
    </w:p>
    <w:p w:rsidR="0056714A" w:rsidRPr="006314C9" w:rsidRDefault="0056714A" w:rsidP="00B33D3F">
      <w:pPr>
        <w:rPr>
          <w:lang w:val="en-GB"/>
        </w:rPr>
      </w:pPr>
      <w:r w:rsidRPr="006314C9">
        <w:rPr>
          <w:lang w:val="en-GB"/>
        </w:rPr>
        <w:t xml:space="preserve">Considering that the transposition of the EU </w:t>
      </w:r>
      <w:proofErr w:type="spellStart"/>
      <w:r w:rsidRPr="006314C9">
        <w:rPr>
          <w:i/>
          <w:lang w:val="en-GB"/>
        </w:rPr>
        <w:t>acquis</w:t>
      </w:r>
      <w:proofErr w:type="spellEnd"/>
      <w:r w:rsidRPr="006314C9">
        <w:rPr>
          <w:lang w:val="en-GB"/>
        </w:rPr>
        <w:t xml:space="preserve"> related to climate change is in early stages, the implementation is in very early stage</w:t>
      </w:r>
      <w:r w:rsidR="00964735" w:rsidRPr="006314C9">
        <w:rPr>
          <w:lang w:val="en-GB"/>
        </w:rPr>
        <w:t xml:space="preserve"> as well</w:t>
      </w:r>
      <w:r w:rsidRPr="006314C9">
        <w:rPr>
          <w:lang w:val="en-GB"/>
        </w:rPr>
        <w:t xml:space="preserve">. Even the transposed parts are not adequately implemented especially as regards monitoring, reporting, inspection as well as training and certification requirements. </w:t>
      </w:r>
    </w:p>
    <w:p w:rsidR="0056714A" w:rsidRPr="006314C9" w:rsidRDefault="00B33D3F" w:rsidP="00B33D3F">
      <w:pPr>
        <w:rPr>
          <w:lang w:val="en-GB"/>
        </w:rPr>
      </w:pPr>
      <w:r w:rsidRPr="006314C9">
        <w:rPr>
          <w:lang w:val="en-GB"/>
        </w:rPr>
        <w:t>O</w:t>
      </w:r>
      <w:r w:rsidR="0056714A" w:rsidRPr="006314C9">
        <w:rPr>
          <w:lang w:val="en-GB"/>
        </w:rPr>
        <w:t xml:space="preserve">n July 2019, the Council of Ministers approved the DCM No. 466, dated 03.07.2019 “On the adoption of the Strategic Document and National Plans for mitigating greenhouse gases and for adoption against climate changes”, which </w:t>
      </w:r>
      <w:r w:rsidR="00964735" w:rsidRPr="006314C9">
        <w:rPr>
          <w:lang w:val="en-GB"/>
        </w:rPr>
        <w:t>entered</w:t>
      </w:r>
      <w:r w:rsidR="0056714A" w:rsidRPr="006314C9">
        <w:rPr>
          <w:lang w:val="en-GB"/>
        </w:rPr>
        <w:t xml:space="preserve"> into force end of July and will be updated every 4 years. This document addresses the mitigation aspects as well as ad</w:t>
      </w:r>
      <w:r w:rsidR="00964735" w:rsidRPr="006314C9">
        <w:rPr>
          <w:lang w:val="en-GB"/>
        </w:rPr>
        <w:t xml:space="preserve">aptation </w:t>
      </w:r>
      <w:r w:rsidR="0056714A" w:rsidRPr="006314C9">
        <w:rPr>
          <w:lang w:val="en-GB"/>
        </w:rPr>
        <w:t xml:space="preserve">aspects and supports the implementation of EU </w:t>
      </w:r>
      <w:proofErr w:type="spellStart"/>
      <w:r w:rsidR="0056714A" w:rsidRPr="006314C9">
        <w:rPr>
          <w:i/>
          <w:lang w:val="en-GB"/>
        </w:rPr>
        <w:t>acquis</w:t>
      </w:r>
      <w:proofErr w:type="spellEnd"/>
      <w:r w:rsidR="0056714A" w:rsidRPr="006314C9">
        <w:rPr>
          <w:lang w:val="en-GB"/>
        </w:rPr>
        <w:t xml:space="preserve"> in the field of environment and climate change and aims at inter-</w:t>
      </w:r>
      <w:proofErr w:type="spellStart"/>
      <w:r w:rsidR="0056714A" w:rsidRPr="006314C9">
        <w:rPr>
          <w:lang w:val="en-GB"/>
        </w:rPr>
        <w:t>sectorial</w:t>
      </w:r>
      <w:proofErr w:type="spellEnd"/>
      <w:r w:rsidR="0056714A" w:rsidRPr="006314C9">
        <w:rPr>
          <w:lang w:val="en-GB"/>
        </w:rPr>
        <w:t xml:space="preserve"> and inter-institutional coordination, in this respect. </w:t>
      </w:r>
    </w:p>
    <w:p w:rsidR="00964735" w:rsidRPr="006314C9" w:rsidRDefault="00964735" w:rsidP="00B33D3F">
      <w:pPr>
        <w:rPr>
          <w:lang w:val="en-GB"/>
        </w:rPr>
      </w:pPr>
      <w:proofErr w:type="spellStart"/>
      <w:r w:rsidRPr="006314C9">
        <w:rPr>
          <w:lang w:val="en-GB"/>
        </w:rPr>
        <w:t>Ozon</w:t>
      </w:r>
      <w:proofErr w:type="spellEnd"/>
      <w:r w:rsidRPr="006314C9">
        <w:rPr>
          <w:lang w:val="en-GB"/>
        </w:rPr>
        <w:t xml:space="preserve"> and </w:t>
      </w:r>
      <w:proofErr w:type="spellStart"/>
      <w:r w:rsidR="00B33D3F" w:rsidRPr="006314C9">
        <w:rPr>
          <w:lang w:val="en-GB"/>
        </w:rPr>
        <w:t>fluorinatedgassesrequirements</w:t>
      </w:r>
      <w:proofErr w:type="spellEnd"/>
      <w:r w:rsidR="00B33D3F" w:rsidRPr="006314C9">
        <w:rPr>
          <w:lang w:val="en-GB"/>
        </w:rPr>
        <w:t xml:space="preserve"> </w:t>
      </w:r>
      <w:r w:rsidR="00313F60" w:rsidRPr="006314C9">
        <w:rPr>
          <w:lang w:val="en-GB"/>
        </w:rPr>
        <w:t xml:space="preserve">implementation </w:t>
      </w:r>
      <w:r w:rsidR="00B33D3F" w:rsidRPr="006314C9">
        <w:rPr>
          <w:lang w:val="en-GB"/>
        </w:rPr>
        <w:t>is</w:t>
      </w:r>
      <w:r w:rsidR="00313F60" w:rsidRPr="006314C9">
        <w:rPr>
          <w:lang w:val="en-GB"/>
        </w:rPr>
        <w:t xml:space="preserve"> driven by National Ozone </w:t>
      </w:r>
      <w:r w:rsidR="00B33D3F" w:rsidRPr="006314C9">
        <w:rPr>
          <w:lang w:val="en-GB"/>
        </w:rPr>
        <w:t>u</w:t>
      </w:r>
      <w:r w:rsidR="00313F60" w:rsidRPr="006314C9">
        <w:rPr>
          <w:lang w:val="en-GB"/>
        </w:rPr>
        <w:t xml:space="preserve">nit that is established within the UNIDO provided support mainly related to control of import and exports and placing on the market ozone depleting substances. </w:t>
      </w:r>
    </w:p>
    <w:p w:rsidR="0056714A" w:rsidRPr="006314C9" w:rsidRDefault="0056714A" w:rsidP="00B27FEA">
      <w:pPr>
        <w:rPr>
          <w:rFonts w:cs="Times New Roman"/>
          <w:lang w:val="en-GB"/>
        </w:rPr>
      </w:pPr>
      <w:r w:rsidRPr="006314C9">
        <w:rPr>
          <w:rFonts w:cs="Times New Roman"/>
          <w:b/>
          <w:lang w:val="en-GB"/>
        </w:rPr>
        <w:t>Administrative capacity</w:t>
      </w:r>
    </w:p>
    <w:p w:rsidR="0056714A" w:rsidRPr="006314C9" w:rsidRDefault="0056714A" w:rsidP="007B0BC7">
      <w:pPr>
        <w:rPr>
          <w:rFonts w:cs="Times New Roman"/>
          <w:lang w:val="en-GB"/>
        </w:rPr>
      </w:pPr>
      <w:r w:rsidRPr="006314C9">
        <w:rPr>
          <w:rFonts w:cs="Times New Roman"/>
          <w:lang w:val="en-GB"/>
        </w:rPr>
        <w:t xml:space="preserve">The authority which has a dominant position for this </w:t>
      </w:r>
      <w:r w:rsidR="00313F60" w:rsidRPr="006314C9">
        <w:rPr>
          <w:rFonts w:cs="Times New Roman"/>
          <w:lang w:val="en-GB"/>
        </w:rPr>
        <w:t>sub-</w:t>
      </w:r>
      <w:r w:rsidRPr="006314C9">
        <w:rPr>
          <w:rFonts w:cs="Times New Roman"/>
          <w:lang w:val="en-GB"/>
        </w:rPr>
        <w:t xml:space="preserve">chapter is the Ministry of Tourism and Environment. However, there are some </w:t>
      </w:r>
      <w:proofErr w:type="spellStart"/>
      <w:r w:rsidRPr="006314C9">
        <w:rPr>
          <w:rFonts w:cs="Times New Roman"/>
          <w:i/>
          <w:lang w:val="en-GB"/>
        </w:rPr>
        <w:t>acquis</w:t>
      </w:r>
      <w:proofErr w:type="spellEnd"/>
      <w:r w:rsidRPr="006314C9">
        <w:rPr>
          <w:rFonts w:cs="Times New Roman"/>
          <w:lang w:val="en-GB"/>
        </w:rPr>
        <w:t xml:space="preserve"> for which the lead is or might be, when defined, the Ministry of Infrastructure and Energy. </w:t>
      </w:r>
    </w:p>
    <w:p w:rsidR="00BB50E1" w:rsidRPr="006314C9" w:rsidRDefault="00BB50E1" w:rsidP="00152F5E">
      <w:pPr>
        <w:rPr>
          <w:rFonts w:cs="Times New Roman"/>
          <w:lang w:val="en-GB"/>
        </w:rPr>
      </w:pPr>
      <w:r w:rsidRPr="006314C9">
        <w:rPr>
          <w:rFonts w:cs="Times New Roman"/>
          <w:lang w:val="en-GB"/>
        </w:rPr>
        <w:t xml:space="preserve">In MTE there are two persons </w:t>
      </w:r>
      <w:proofErr w:type="gramStart"/>
      <w:r w:rsidRPr="006314C9">
        <w:rPr>
          <w:rFonts w:cs="Times New Roman"/>
          <w:lang w:val="en-GB"/>
        </w:rPr>
        <w:t>which</w:t>
      </w:r>
      <w:proofErr w:type="gramEnd"/>
      <w:r w:rsidRPr="006314C9">
        <w:rPr>
          <w:rFonts w:cs="Times New Roman"/>
          <w:lang w:val="en-GB"/>
        </w:rPr>
        <w:t xml:space="preserve"> are responsible for climate </w:t>
      </w:r>
      <w:r w:rsidR="00313F60" w:rsidRPr="006314C9">
        <w:rPr>
          <w:rFonts w:cs="Times New Roman"/>
          <w:lang w:val="en-GB"/>
        </w:rPr>
        <w:t>change issue</w:t>
      </w:r>
      <w:r w:rsidRPr="006314C9">
        <w:rPr>
          <w:rFonts w:cs="Times New Roman"/>
          <w:lang w:val="en-GB"/>
        </w:rPr>
        <w:t xml:space="preserve">, however, they are as well responsible for other issue, thus can </w:t>
      </w:r>
      <w:proofErr w:type="spellStart"/>
      <w:r w:rsidRPr="006314C9">
        <w:rPr>
          <w:rFonts w:cs="Times New Roman"/>
          <w:lang w:val="en-GB"/>
        </w:rPr>
        <w:t>not</w:t>
      </w:r>
      <w:r w:rsidR="00392D8B" w:rsidRPr="006314C9">
        <w:rPr>
          <w:rFonts w:cs="Times New Roman"/>
          <w:lang w:val="en-GB"/>
        </w:rPr>
        <w:t>allocate</w:t>
      </w:r>
      <w:proofErr w:type="spellEnd"/>
      <w:r w:rsidRPr="006314C9">
        <w:rPr>
          <w:rFonts w:cs="Times New Roman"/>
          <w:lang w:val="en-GB"/>
        </w:rPr>
        <w:t xml:space="preserve"> sufficient time for this sub-chapter. Consequently, many developments in climate have been implemented through </w:t>
      </w:r>
      <w:r w:rsidR="00B33D3F" w:rsidRPr="006314C9">
        <w:rPr>
          <w:rFonts w:cs="Times New Roman"/>
          <w:lang w:val="en-GB"/>
        </w:rPr>
        <w:t xml:space="preserve">the </w:t>
      </w:r>
      <w:r w:rsidRPr="006314C9">
        <w:rPr>
          <w:rFonts w:cs="Times New Roman"/>
          <w:lang w:val="en-GB"/>
        </w:rPr>
        <w:t xml:space="preserve">donors support. </w:t>
      </w:r>
      <w:r w:rsidR="00392D8B" w:rsidRPr="006314C9">
        <w:rPr>
          <w:rFonts w:cs="Times New Roman"/>
          <w:lang w:val="en-GB"/>
        </w:rPr>
        <w:t xml:space="preserve">There is an urgent need to establish </w:t>
      </w:r>
      <w:r w:rsidR="00313F60" w:rsidRPr="006314C9">
        <w:rPr>
          <w:rFonts w:cs="Times New Roman"/>
          <w:lang w:val="en-GB"/>
        </w:rPr>
        <w:t xml:space="preserve">adequate staff </w:t>
      </w:r>
      <w:r w:rsidR="00B33D3F" w:rsidRPr="006314C9">
        <w:rPr>
          <w:rFonts w:cs="Times New Roman"/>
          <w:lang w:val="en-GB"/>
        </w:rPr>
        <w:t xml:space="preserve">under </w:t>
      </w:r>
      <w:r w:rsidR="00392D8B" w:rsidRPr="006314C9">
        <w:rPr>
          <w:rFonts w:cs="Times New Roman"/>
          <w:lang w:val="en-GB"/>
        </w:rPr>
        <w:t xml:space="preserve">a separate sector as a structure within MTE which will be responsible for the climate change EU </w:t>
      </w:r>
      <w:proofErr w:type="spellStart"/>
      <w:r w:rsidR="00392D8B" w:rsidRPr="006314C9">
        <w:rPr>
          <w:rFonts w:cs="Times New Roman"/>
          <w:lang w:val="en-GB"/>
        </w:rPr>
        <w:t>acquis</w:t>
      </w:r>
      <w:proofErr w:type="spellEnd"/>
      <w:r w:rsidR="00392D8B" w:rsidRPr="006314C9">
        <w:rPr>
          <w:rFonts w:cs="Times New Roman"/>
          <w:lang w:val="en-GB"/>
        </w:rPr>
        <w:t xml:space="preserve">. </w:t>
      </w:r>
    </w:p>
    <w:p w:rsidR="00BB50E1" w:rsidRPr="006314C9" w:rsidRDefault="00BB50E1" w:rsidP="00152F5E">
      <w:pPr>
        <w:rPr>
          <w:rFonts w:cs="Times New Roman"/>
          <w:lang w:val="en-GB"/>
        </w:rPr>
      </w:pPr>
      <w:r w:rsidRPr="006314C9">
        <w:rPr>
          <w:rFonts w:cs="Times New Roman"/>
          <w:lang w:val="en-GB"/>
        </w:rPr>
        <w:t xml:space="preserve">There is a National Ozone Unit which is responsible for </w:t>
      </w:r>
      <w:r w:rsidR="00E01C5A" w:rsidRPr="006314C9">
        <w:rPr>
          <w:rFonts w:cs="Times New Roman"/>
          <w:lang w:val="en-GB"/>
        </w:rPr>
        <w:t>permitting</w:t>
      </w:r>
      <w:r w:rsidRPr="006314C9">
        <w:rPr>
          <w:rFonts w:cs="Times New Roman"/>
          <w:lang w:val="en-GB"/>
        </w:rPr>
        <w:t xml:space="preserve"> procedure for import, export and placing on the market ozone depleting </w:t>
      </w:r>
      <w:r w:rsidR="00E01C5A" w:rsidRPr="006314C9">
        <w:rPr>
          <w:rFonts w:cs="Times New Roman"/>
          <w:lang w:val="en-GB"/>
        </w:rPr>
        <w:t>substances</w:t>
      </w:r>
      <w:r w:rsidRPr="006314C9">
        <w:rPr>
          <w:rFonts w:cs="Times New Roman"/>
          <w:lang w:val="en-GB"/>
        </w:rPr>
        <w:t>. Th</w:t>
      </w:r>
      <w:r w:rsidR="00E01C5A" w:rsidRPr="006314C9">
        <w:rPr>
          <w:rFonts w:cs="Times New Roman"/>
          <w:lang w:val="en-GB"/>
        </w:rPr>
        <w:t>e</w:t>
      </w:r>
      <w:r w:rsidRPr="006314C9">
        <w:rPr>
          <w:rFonts w:cs="Times New Roman"/>
          <w:lang w:val="en-GB"/>
        </w:rPr>
        <w:t xml:space="preserve">re are 3 specialists in this unit which are implementing procedures according to the </w:t>
      </w:r>
      <w:r w:rsidR="00E01C5A" w:rsidRPr="006314C9">
        <w:rPr>
          <w:rFonts w:cs="Times New Roman"/>
          <w:lang w:val="en-GB"/>
        </w:rPr>
        <w:t>Montreal</w:t>
      </w:r>
      <w:r w:rsidRPr="006314C9">
        <w:rPr>
          <w:rFonts w:cs="Times New Roman"/>
          <w:lang w:val="en-GB"/>
        </w:rPr>
        <w:t xml:space="preserve"> protocol and act as well as Project Implementation Unit. Custom authority is controlling the imports-experts and maintains a register of the quantities imported or exp</w:t>
      </w:r>
      <w:r w:rsidR="00E01C5A" w:rsidRPr="006314C9">
        <w:rPr>
          <w:rFonts w:cs="Times New Roman"/>
          <w:lang w:val="en-GB"/>
        </w:rPr>
        <w:t>o</w:t>
      </w:r>
      <w:r w:rsidRPr="006314C9">
        <w:rPr>
          <w:rFonts w:cs="Times New Roman"/>
          <w:lang w:val="en-GB"/>
        </w:rPr>
        <w:t xml:space="preserve">rted. </w:t>
      </w:r>
    </w:p>
    <w:p w:rsidR="0056714A" w:rsidRPr="006314C9" w:rsidRDefault="0056714A" w:rsidP="00152F5E">
      <w:pPr>
        <w:rPr>
          <w:rFonts w:cs="Times New Roman"/>
          <w:lang w:val="en-GB"/>
        </w:rPr>
      </w:pPr>
      <w:r w:rsidRPr="006314C9">
        <w:rPr>
          <w:rFonts w:cs="Times New Roman"/>
          <w:lang w:val="en-GB"/>
        </w:rPr>
        <w:t>National Environment Agency and State Inspectorate on Environment, Water and Forests</w:t>
      </w:r>
      <w:r w:rsidR="00B33D3F" w:rsidRPr="006314C9">
        <w:rPr>
          <w:rFonts w:cs="Times New Roman"/>
          <w:lang w:val="en-GB"/>
        </w:rPr>
        <w:t xml:space="preserve">, </w:t>
      </w:r>
      <w:r w:rsidRPr="006314C9">
        <w:rPr>
          <w:rFonts w:cs="Times New Roman"/>
          <w:lang w:val="en-GB"/>
        </w:rPr>
        <w:t xml:space="preserve">Ministry of Health, </w:t>
      </w:r>
      <w:r w:rsidR="00392D8B" w:rsidRPr="006314C9">
        <w:rPr>
          <w:rFonts w:cs="Times New Roman"/>
          <w:lang w:val="en-GB"/>
        </w:rPr>
        <w:t xml:space="preserve">Ministry of Infrastructure and Energy, </w:t>
      </w:r>
      <w:r w:rsidRPr="006314C9">
        <w:rPr>
          <w:rFonts w:cs="Times New Roman"/>
          <w:lang w:val="en-GB"/>
        </w:rPr>
        <w:t>Ministry of Education for the part of training and General Directorate of Customs</w:t>
      </w:r>
      <w:r w:rsidR="00B33D3F" w:rsidRPr="006314C9">
        <w:rPr>
          <w:rFonts w:cs="Times New Roman"/>
          <w:lang w:val="en-GB"/>
        </w:rPr>
        <w:t xml:space="preserve"> has an important role in overall institutional set-up for this sub-chapter. </w:t>
      </w:r>
      <w:r w:rsidR="001D6E18" w:rsidRPr="006314C9">
        <w:rPr>
          <w:rFonts w:cs="Times New Roman"/>
          <w:lang w:val="en-GB"/>
        </w:rPr>
        <w:t>MIE does not have any structure or person responsib</w:t>
      </w:r>
      <w:r w:rsidR="00B33D3F" w:rsidRPr="006314C9">
        <w:rPr>
          <w:rFonts w:cs="Times New Roman"/>
          <w:lang w:val="en-GB"/>
        </w:rPr>
        <w:t>le for</w:t>
      </w:r>
      <w:r w:rsidR="001D6E18" w:rsidRPr="006314C9">
        <w:rPr>
          <w:rFonts w:cs="Times New Roman"/>
          <w:lang w:val="en-GB"/>
        </w:rPr>
        <w:t xml:space="preserve"> climate change. One person working on energy issue is involved </w:t>
      </w:r>
      <w:r w:rsidR="00B33D3F" w:rsidRPr="006314C9">
        <w:rPr>
          <w:rFonts w:cs="Times New Roman"/>
          <w:lang w:val="en-GB"/>
        </w:rPr>
        <w:t xml:space="preserve">in </w:t>
      </w:r>
      <w:r w:rsidR="001D6E18" w:rsidRPr="006314C9">
        <w:rPr>
          <w:rFonts w:cs="Times New Roman"/>
          <w:lang w:val="en-GB"/>
        </w:rPr>
        <w:t xml:space="preserve">MIE activities related to climate. </w:t>
      </w:r>
      <w:r w:rsidR="00392D8B" w:rsidRPr="006314C9">
        <w:rPr>
          <w:rFonts w:cs="Times New Roman"/>
          <w:lang w:val="en-GB"/>
        </w:rPr>
        <w:t xml:space="preserve">The capacity and knowledge has to increase within </w:t>
      </w:r>
      <w:proofErr w:type="spellStart"/>
      <w:r w:rsidR="00B33D3F" w:rsidRPr="006314C9">
        <w:rPr>
          <w:rFonts w:cs="Times New Roman"/>
          <w:lang w:val="en-GB"/>
        </w:rPr>
        <w:lastRenderedPageBreak/>
        <w:t>institutions</w:t>
      </w:r>
      <w:r w:rsidR="00392D8B" w:rsidRPr="006314C9">
        <w:rPr>
          <w:rFonts w:cs="Times New Roman"/>
          <w:lang w:val="en-GB"/>
        </w:rPr>
        <w:t>in</w:t>
      </w:r>
      <w:proofErr w:type="spellEnd"/>
      <w:r w:rsidR="00392D8B" w:rsidRPr="006314C9">
        <w:rPr>
          <w:rFonts w:cs="Times New Roman"/>
          <w:lang w:val="en-GB"/>
        </w:rPr>
        <w:t xml:space="preserve"> particular MIE and MH. MTE should take the lead in establishing and maintaining good mechanism for inter-institutional coordination</w:t>
      </w:r>
      <w:r w:rsidR="001D6E18" w:rsidRPr="006314C9">
        <w:rPr>
          <w:rFonts w:cs="Times New Roman"/>
          <w:lang w:val="en-GB"/>
        </w:rPr>
        <w:t xml:space="preserve"> for climate change</w:t>
      </w:r>
      <w:r w:rsidR="008F1AFE" w:rsidRPr="006314C9">
        <w:rPr>
          <w:rFonts w:cs="Times New Roman"/>
          <w:lang w:val="en-GB"/>
        </w:rPr>
        <w:t xml:space="preserve"> activities</w:t>
      </w:r>
      <w:r w:rsidR="00392D8B" w:rsidRPr="006314C9">
        <w:rPr>
          <w:rFonts w:cs="Times New Roman"/>
          <w:lang w:val="en-GB"/>
        </w:rPr>
        <w:t xml:space="preserve">. </w:t>
      </w:r>
      <w:r w:rsidR="000A2664" w:rsidRPr="006314C9">
        <w:rPr>
          <w:rFonts w:cs="Times New Roman"/>
          <w:lang w:val="en-GB"/>
        </w:rPr>
        <w:t>T</w:t>
      </w:r>
      <w:r w:rsidRPr="006314C9">
        <w:rPr>
          <w:rFonts w:cs="Times New Roman"/>
          <w:lang w:val="en-GB"/>
        </w:rPr>
        <w:t xml:space="preserve">here is a need </w:t>
      </w:r>
      <w:proofErr w:type="spellStart"/>
      <w:r w:rsidR="000A2664" w:rsidRPr="006314C9">
        <w:rPr>
          <w:rFonts w:cs="Times New Roman"/>
          <w:lang w:val="en-GB"/>
        </w:rPr>
        <w:t>to</w:t>
      </w:r>
      <w:r w:rsidRPr="006314C9">
        <w:rPr>
          <w:rFonts w:cs="Times New Roman"/>
          <w:lang w:val="en-GB"/>
        </w:rPr>
        <w:t>substantial</w:t>
      </w:r>
      <w:r w:rsidR="000A2664" w:rsidRPr="006314C9">
        <w:rPr>
          <w:rFonts w:cs="Times New Roman"/>
          <w:lang w:val="en-GB"/>
        </w:rPr>
        <w:t>ly</w:t>
      </w:r>
      <w:proofErr w:type="spellEnd"/>
      <w:r w:rsidR="000A2664" w:rsidRPr="006314C9">
        <w:rPr>
          <w:rFonts w:cs="Times New Roman"/>
          <w:lang w:val="en-GB"/>
        </w:rPr>
        <w:t xml:space="preserve"> strengthen </w:t>
      </w:r>
      <w:r w:rsidRPr="006314C9">
        <w:rPr>
          <w:rFonts w:cs="Times New Roman"/>
          <w:lang w:val="en-GB"/>
        </w:rPr>
        <w:t>reporting and inspection</w:t>
      </w:r>
      <w:r w:rsidR="000A2664" w:rsidRPr="006314C9">
        <w:rPr>
          <w:rFonts w:cs="Times New Roman"/>
          <w:lang w:val="en-GB"/>
        </w:rPr>
        <w:t xml:space="preserve"> functions as well</w:t>
      </w:r>
      <w:r w:rsidRPr="006314C9">
        <w:rPr>
          <w:rFonts w:cs="Times New Roman"/>
          <w:lang w:val="en-GB"/>
        </w:rPr>
        <w:t>.</w:t>
      </w:r>
    </w:p>
    <w:p w:rsidR="0056714A" w:rsidRPr="006314C9" w:rsidRDefault="00392D8B" w:rsidP="000A2664">
      <w:pPr>
        <w:rPr>
          <w:lang w:val="en-GB"/>
        </w:rPr>
      </w:pPr>
      <w:r w:rsidRPr="006314C9">
        <w:rPr>
          <w:lang w:val="en-GB"/>
        </w:rPr>
        <w:t xml:space="preserve">This sub chapter is one of the </w:t>
      </w:r>
      <w:proofErr w:type="spellStart"/>
      <w:r w:rsidR="000A2664" w:rsidRPr="006314C9">
        <w:rPr>
          <w:lang w:val="en-GB"/>
        </w:rPr>
        <w:t>weakest</w:t>
      </w:r>
      <w:r w:rsidRPr="006314C9">
        <w:rPr>
          <w:lang w:val="en-GB"/>
        </w:rPr>
        <w:t>in</w:t>
      </w:r>
      <w:proofErr w:type="spellEnd"/>
      <w:r w:rsidRPr="006314C9">
        <w:rPr>
          <w:lang w:val="en-GB"/>
        </w:rPr>
        <w:t xml:space="preserve"> terms of administrative capacity and urgent actions are needed at least to establish the minimum required </w:t>
      </w:r>
      <w:r w:rsidR="000A2664" w:rsidRPr="006314C9">
        <w:rPr>
          <w:lang w:val="en-GB"/>
        </w:rPr>
        <w:t xml:space="preserve">institutional </w:t>
      </w:r>
      <w:r w:rsidRPr="006314C9">
        <w:rPr>
          <w:lang w:val="en-GB"/>
        </w:rPr>
        <w:t xml:space="preserve">structure which will lead the process of transposition and implementation of the EU </w:t>
      </w:r>
      <w:proofErr w:type="spellStart"/>
      <w:r w:rsidRPr="006314C9">
        <w:rPr>
          <w:lang w:val="en-GB"/>
        </w:rPr>
        <w:t>acquis</w:t>
      </w:r>
      <w:proofErr w:type="spellEnd"/>
      <w:r w:rsidRPr="006314C9">
        <w:rPr>
          <w:lang w:val="en-GB"/>
        </w:rPr>
        <w:t xml:space="preserve"> in climate change. </w:t>
      </w:r>
    </w:p>
    <w:p w:rsidR="0056714A" w:rsidRPr="006314C9" w:rsidRDefault="0056714A" w:rsidP="00B27FEA">
      <w:pPr>
        <w:rPr>
          <w:rFonts w:cs="Times New Roman"/>
          <w:lang w:val="en-GB"/>
        </w:rPr>
      </w:pPr>
      <w:r w:rsidRPr="006314C9">
        <w:rPr>
          <w:rFonts w:cs="Times New Roman"/>
          <w:b/>
          <w:lang w:val="en-GB"/>
        </w:rPr>
        <w:t xml:space="preserve">Summary </w:t>
      </w:r>
    </w:p>
    <w:tbl>
      <w:tblPr>
        <w:tblStyle w:val="TableGrid"/>
        <w:tblW w:w="5000" w:type="pct"/>
        <w:tblLook w:val="04A0"/>
      </w:tblPr>
      <w:tblGrid>
        <w:gridCol w:w="2393"/>
        <w:gridCol w:w="2395"/>
        <w:gridCol w:w="2393"/>
        <w:gridCol w:w="2395"/>
      </w:tblGrid>
      <w:tr w:rsidR="0056714A" w:rsidRPr="006314C9" w:rsidTr="00E646A0">
        <w:tc>
          <w:tcPr>
            <w:tcW w:w="2393" w:type="dxa"/>
          </w:tcPr>
          <w:p w:rsidR="00590337" w:rsidRPr="006314C9" w:rsidRDefault="002F0A16">
            <w:pPr>
              <w:jc w:val="center"/>
              <w:rPr>
                <w:rFonts w:cs="Times New Roman"/>
                <w:b/>
                <w:sz w:val="20"/>
                <w:szCs w:val="20"/>
                <w:lang w:val="en-GB"/>
              </w:rPr>
            </w:pPr>
            <w:r w:rsidRPr="006314C9">
              <w:rPr>
                <w:rFonts w:cs="Times New Roman"/>
                <w:b/>
                <w:sz w:val="20"/>
                <w:szCs w:val="20"/>
                <w:lang w:val="en-GB"/>
              </w:rPr>
              <w:t>Directive/regulation</w:t>
            </w:r>
          </w:p>
        </w:tc>
        <w:tc>
          <w:tcPr>
            <w:tcW w:w="2395" w:type="dxa"/>
          </w:tcPr>
          <w:p w:rsidR="00590337" w:rsidRPr="006314C9" w:rsidRDefault="002F0A16">
            <w:pPr>
              <w:jc w:val="center"/>
              <w:rPr>
                <w:rFonts w:cs="Times New Roman"/>
                <w:b/>
                <w:sz w:val="20"/>
                <w:szCs w:val="20"/>
                <w:lang w:val="en-GB"/>
              </w:rPr>
            </w:pPr>
            <w:r w:rsidRPr="006314C9">
              <w:rPr>
                <w:rFonts w:cs="Times New Roman"/>
                <w:b/>
                <w:sz w:val="20"/>
                <w:szCs w:val="20"/>
                <w:lang w:val="en-GB"/>
              </w:rPr>
              <w:t>Main competent authority</w:t>
            </w:r>
          </w:p>
        </w:tc>
        <w:tc>
          <w:tcPr>
            <w:tcW w:w="2393" w:type="dxa"/>
          </w:tcPr>
          <w:p w:rsidR="00590337" w:rsidRPr="006314C9" w:rsidRDefault="002F0A16">
            <w:pPr>
              <w:jc w:val="center"/>
              <w:rPr>
                <w:rFonts w:cs="Times New Roman"/>
                <w:b/>
                <w:sz w:val="20"/>
                <w:szCs w:val="20"/>
                <w:lang w:val="en-GB"/>
              </w:rPr>
            </w:pPr>
            <w:r w:rsidRPr="006314C9">
              <w:rPr>
                <w:rFonts w:cs="Times New Roman"/>
                <w:b/>
                <w:sz w:val="20"/>
                <w:szCs w:val="20"/>
                <w:lang w:val="en-GB"/>
              </w:rPr>
              <w:t>Level of transposition</w:t>
            </w:r>
          </w:p>
        </w:tc>
        <w:tc>
          <w:tcPr>
            <w:tcW w:w="2395" w:type="dxa"/>
          </w:tcPr>
          <w:p w:rsidR="00590337" w:rsidRPr="006314C9" w:rsidRDefault="002F0A16">
            <w:pPr>
              <w:jc w:val="center"/>
              <w:rPr>
                <w:rFonts w:cs="Times New Roman"/>
                <w:b/>
                <w:sz w:val="20"/>
                <w:szCs w:val="20"/>
                <w:lang w:val="en-GB"/>
              </w:rPr>
            </w:pPr>
            <w:r w:rsidRPr="006314C9">
              <w:rPr>
                <w:rFonts w:cs="Times New Roman"/>
                <w:b/>
                <w:sz w:val="20"/>
                <w:szCs w:val="20"/>
                <w:lang w:val="en-GB"/>
              </w:rPr>
              <w:t>Level of implementation</w:t>
            </w:r>
          </w:p>
        </w:tc>
      </w:tr>
      <w:tr w:rsidR="00E646A0" w:rsidRPr="006314C9" w:rsidTr="00E646A0">
        <w:tc>
          <w:tcPr>
            <w:tcW w:w="2393" w:type="dxa"/>
          </w:tcPr>
          <w:p w:rsidR="00E646A0" w:rsidRPr="006314C9" w:rsidRDefault="00E646A0" w:rsidP="00BB56CF">
            <w:pPr>
              <w:spacing w:before="60" w:after="60"/>
              <w:contextualSpacing/>
              <w:rPr>
                <w:rFonts w:cs="Times New Roman"/>
                <w:sz w:val="20"/>
                <w:szCs w:val="20"/>
                <w:lang w:val="en-GB"/>
              </w:rPr>
            </w:pPr>
            <w:r w:rsidRPr="006314C9">
              <w:rPr>
                <w:rFonts w:cs="Times New Roman"/>
                <w:sz w:val="20"/>
                <w:szCs w:val="20"/>
                <w:lang w:val="en-GB"/>
              </w:rPr>
              <w:t xml:space="preserve">Regulation (EU) 525/2013 </w:t>
            </w:r>
            <w:r w:rsidR="00B95D6A" w:rsidRPr="006314C9">
              <w:rPr>
                <w:rFonts w:cs="Times New Roman"/>
                <w:b/>
                <w:i/>
                <w:sz w:val="20"/>
                <w:szCs w:val="20"/>
                <w:lang w:val="en-GB"/>
              </w:rPr>
              <w:t>Monitoring mechanism</w:t>
            </w:r>
          </w:p>
        </w:tc>
        <w:tc>
          <w:tcPr>
            <w:tcW w:w="2395" w:type="dxa"/>
          </w:tcPr>
          <w:p w:rsidR="00E646A0" w:rsidRPr="006314C9" w:rsidRDefault="00E646A0" w:rsidP="001970C3">
            <w:pPr>
              <w:spacing w:before="60" w:after="60"/>
              <w:contextualSpacing/>
              <w:rPr>
                <w:rFonts w:cs="Times New Roman"/>
                <w:sz w:val="20"/>
                <w:szCs w:val="20"/>
                <w:lang w:val="en-GB"/>
              </w:rPr>
            </w:pPr>
            <w:r w:rsidRPr="006314C9">
              <w:rPr>
                <w:rFonts w:cs="Times New Roman"/>
                <w:sz w:val="20"/>
                <w:szCs w:val="20"/>
                <w:lang w:val="en-GB"/>
              </w:rPr>
              <w:t>MTE</w:t>
            </w:r>
          </w:p>
          <w:p w:rsidR="00E646A0" w:rsidRPr="006314C9" w:rsidRDefault="00E646A0" w:rsidP="007B0BC7">
            <w:pPr>
              <w:spacing w:before="60" w:after="60"/>
              <w:contextualSpacing/>
              <w:rPr>
                <w:rFonts w:cs="Times New Roman"/>
                <w:sz w:val="20"/>
                <w:szCs w:val="20"/>
                <w:highlight w:val="green"/>
                <w:lang w:val="en-GB"/>
              </w:rPr>
            </w:pPr>
          </w:p>
        </w:tc>
        <w:tc>
          <w:tcPr>
            <w:tcW w:w="2393" w:type="dxa"/>
          </w:tcPr>
          <w:p w:rsidR="00E646A0" w:rsidRPr="006314C9" w:rsidRDefault="00B95D6A">
            <w:pPr>
              <w:spacing w:before="60" w:after="60"/>
              <w:contextualSpacing/>
              <w:rPr>
                <w:rFonts w:cs="Times New Roman"/>
                <w:sz w:val="20"/>
                <w:szCs w:val="20"/>
                <w:lang w:val="en-GB"/>
              </w:rPr>
            </w:pPr>
            <w:r w:rsidRPr="006314C9">
              <w:rPr>
                <w:rFonts w:cs="Times New Roman"/>
                <w:sz w:val="20"/>
                <w:szCs w:val="20"/>
                <w:lang w:val="en-GB"/>
              </w:rPr>
              <w:t>Not</w:t>
            </w:r>
            <w:r w:rsidR="00F72541" w:rsidRPr="006314C9">
              <w:rPr>
                <w:rFonts w:cs="Times New Roman"/>
                <w:sz w:val="20"/>
                <w:szCs w:val="20"/>
                <w:lang w:val="en-GB"/>
              </w:rPr>
              <w:t xml:space="preserve"> transposed</w:t>
            </w:r>
            <w:r w:rsidR="00EA12A1" w:rsidRPr="006314C9">
              <w:rPr>
                <w:rFonts w:cs="Times New Roman"/>
                <w:sz w:val="20"/>
                <w:szCs w:val="20"/>
                <w:lang w:val="en-GB"/>
              </w:rPr>
              <w:t>;</w:t>
            </w:r>
          </w:p>
        </w:tc>
        <w:tc>
          <w:tcPr>
            <w:tcW w:w="2395" w:type="dxa"/>
          </w:tcPr>
          <w:p w:rsidR="00E646A0" w:rsidRPr="006314C9" w:rsidRDefault="00E646A0" w:rsidP="00F72541">
            <w:pPr>
              <w:spacing w:before="60" w:after="60"/>
              <w:contextualSpacing/>
              <w:rPr>
                <w:rFonts w:eastAsia="Times New Roman" w:cs="Times New Roman"/>
                <w:color w:val="000000"/>
                <w:sz w:val="20"/>
                <w:szCs w:val="20"/>
                <w:lang w:val="en-GB"/>
              </w:rPr>
            </w:pPr>
            <w:r w:rsidRPr="006314C9">
              <w:rPr>
                <w:rFonts w:eastAsia="Times New Roman" w:cs="Times New Roman"/>
                <w:color w:val="000000"/>
                <w:sz w:val="20"/>
                <w:szCs w:val="20"/>
                <w:lang w:val="en-GB"/>
              </w:rPr>
              <w:t xml:space="preserve">Not </w:t>
            </w:r>
            <w:r w:rsidR="00F72541" w:rsidRPr="006314C9">
              <w:rPr>
                <w:rFonts w:eastAsia="Times New Roman" w:cs="Times New Roman"/>
                <w:color w:val="000000"/>
                <w:sz w:val="20"/>
                <w:szCs w:val="20"/>
                <w:lang w:val="en-GB"/>
              </w:rPr>
              <w:t>implemented</w:t>
            </w:r>
          </w:p>
        </w:tc>
      </w:tr>
      <w:tr w:rsidR="00E646A0" w:rsidRPr="006314C9" w:rsidTr="00E646A0">
        <w:tc>
          <w:tcPr>
            <w:tcW w:w="2393" w:type="dxa"/>
          </w:tcPr>
          <w:p w:rsidR="00E646A0" w:rsidRPr="006314C9" w:rsidRDefault="00E646A0" w:rsidP="00BB56CF">
            <w:pPr>
              <w:spacing w:before="60" w:after="60"/>
              <w:contextualSpacing/>
              <w:rPr>
                <w:rFonts w:cs="Times New Roman"/>
                <w:sz w:val="20"/>
                <w:szCs w:val="20"/>
                <w:lang w:val="en-GB"/>
              </w:rPr>
            </w:pPr>
            <w:r w:rsidRPr="006314C9">
              <w:rPr>
                <w:rFonts w:cs="Times New Roman"/>
                <w:sz w:val="20"/>
                <w:szCs w:val="20"/>
                <w:lang w:val="en-GB"/>
              </w:rPr>
              <w:t xml:space="preserve">Directive 2003/87/EC  </w:t>
            </w:r>
            <w:r w:rsidR="00B95D6A" w:rsidRPr="006314C9">
              <w:rPr>
                <w:rFonts w:cs="Times New Roman"/>
                <w:b/>
                <w:i/>
                <w:sz w:val="20"/>
                <w:szCs w:val="20"/>
                <w:lang w:val="en-GB"/>
              </w:rPr>
              <w:t>EU Emissions Trading System</w:t>
            </w:r>
            <w:r w:rsidR="00F72541" w:rsidRPr="006314C9">
              <w:rPr>
                <w:rFonts w:cs="Times New Roman"/>
                <w:b/>
                <w:i/>
                <w:sz w:val="20"/>
                <w:szCs w:val="20"/>
                <w:lang w:val="en-GB"/>
              </w:rPr>
              <w:t xml:space="preserve"> (EU ETS)</w:t>
            </w:r>
          </w:p>
        </w:tc>
        <w:tc>
          <w:tcPr>
            <w:tcW w:w="2395" w:type="dxa"/>
          </w:tcPr>
          <w:p w:rsidR="00E646A0" w:rsidRPr="006314C9" w:rsidRDefault="00E646A0" w:rsidP="001970C3">
            <w:pPr>
              <w:spacing w:before="60" w:after="60"/>
              <w:contextualSpacing/>
              <w:rPr>
                <w:rFonts w:cs="Times New Roman"/>
                <w:sz w:val="20"/>
                <w:szCs w:val="20"/>
                <w:lang w:val="en-GB"/>
              </w:rPr>
            </w:pPr>
            <w:r w:rsidRPr="006314C9">
              <w:rPr>
                <w:rFonts w:cs="Times New Roman"/>
                <w:sz w:val="20"/>
                <w:szCs w:val="20"/>
                <w:lang w:val="en-GB"/>
              </w:rPr>
              <w:t>MTE</w:t>
            </w:r>
          </w:p>
          <w:p w:rsidR="00E646A0" w:rsidRPr="006314C9" w:rsidRDefault="00E646A0" w:rsidP="007B0BC7">
            <w:pPr>
              <w:spacing w:before="60" w:after="60"/>
              <w:contextualSpacing/>
              <w:rPr>
                <w:rFonts w:cs="Times New Roman"/>
                <w:sz w:val="20"/>
                <w:szCs w:val="20"/>
                <w:highlight w:val="green"/>
                <w:lang w:val="en-GB"/>
              </w:rPr>
            </w:pPr>
          </w:p>
        </w:tc>
        <w:tc>
          <w:tcPr>
            <w:tcW w:w="2393" w:type="dxa"/>
          </w:tcPr>
          <w:p w:rsidR="00E646A0" w:rsidRPr="006314C9" w:rsidRDefault="00B95D6A">
            <w:pPr>
              <w:spacing w:before="60" w:after="60"/>
              <w:contextualSpacing/>
              <w:rPr>
                <w:rFonts w:cs="Times New Roman"/>
                <w:sz w:val="20"/>
                <w:szCs w:val="20"/>
                <w:lang w:val="en-GB"/>
              </w:rPr>
            </w:pPr>
            <w:r w:rsidRPr="006314C9">
              <w:rPr>
                <w:rFonts w:cs="Times New Roman"/>
                <w:sz w:val="20"/>
                <w:szCs w:val="20"/>
                <w:lang w:val="en-GB"/>
              </w:rPr>
              <w:t>Not</w:t>
            </w:r>
            <w:r w:rsidR="00E646A0" w:rsidRPr="006314C9">
              <w:rPr>
                <w:rFonts w:cs="Times New Roman"/>
                <w:sz w:val="20"/>
                <w:szCs w:val="20"/>
                <w:lang w:val="en-GB"/>
              </w:rPr>
              <w:t xml:space="preserve"> transposed</w:t>
            </w:r>
            <w:r w:rsidR="00EA12A1" w:rsidRPr="006314C9">
              <w:rPr>
                <w:rFonts w:cs="Times New Roman"/>
                <w:sz w:val="20"/>
                <w:szCs w:val="20"/>
                <w:lang w:val="en-GB"/>
              </w:rPr>
              <w:t>;</w:t>
            </w:r>
          </w:p>
        </w:tc>
        <w:tc>
          <w:tcPr>
            <w:tcW w:w="2395" w:type="dxa"/>
          </w:tcPr>
          <w:p w:rsidR="00E646A0" w:rsidRPr="006314C9" w:rsidRDefault="00F72541">
            <w:pPr>
              <w:spacing w:before="60" w:after="60"/>
              <w:contextualSpacing/>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EA12A1" w:rsidRPr="006314C9" w:rsidTr="00E646A0">
        <w:tc>
          <w:tcPr>
            <w:tcW w:w="2393" w:type="dxa"/>
          </w:tcPr>
          <w:p w:rsidR="00EA12A1" w:rsidRPr="006314C9" w:rsidRDefault="00371D77" w:rsidP="00F72541">
            <w:pPr>
              <w:spacing w:before="60" w:after="60"/>
              <w:contextualSpacing/>
              <w:rPr>
                <w:rFonts w:cs="Times New Roman"/>
                <w:sz w:val="20"/>
                <w:szCs w:val="20"/>
                <w:lang w:val="en-GB"/>
              </w:rPr>
            </w:pPr>
            <w:r w:rsidRPr="006314C9">
              <w:rPr>
                <w:rFonts w:eastAsia="Times New Roman" w:cs="Times New Roman"/>
                <w:sz w:val="20"/>
                <w:szCs w:val="20"/>
                <w:lang w:val="en-GB"/>
              </w:rPr>
              <w:t xml:space="preserve">Directive </w:t>
            </w:r>
            <w:r w:rsidR="00EA12A1" w:rsidRPr="006314C9">
              <w:rPr>
                <w:rFonts w:eastAsia="Times New Roman" w:cs="Times New Roman"/>
                <w:sz w:val="20"/>
                <w:szCs w:val="20"/>
                <w:lang w:val="en-GB"/>
              </w:rPr>
              <w:t xml:space="preserve">2008/101/EC </w:t>
            </w:r>
            <w:r w:rsidR="00B95D6A" w:rsidRPr="006314C9">
              <w:rPr>
                <w:rFonts w:eastAsia="Times New Roman" w:cs="Times New Roman"/>
                <w:b/>
                <w:i/>
                <w:sz w:val="20"/>
                <w:szCs w:val="20"/>
                <w:lang w:val="en-GB"/>
              </w:rPr>
              <w:t>Emissions Trading System Aviation Activities</w:t>
            </w:r>
            <w:r w:rsidR="00B95D6A" w:rsidRPr="006314C9">
              <w:rPr>
                <w:rFonts w:eastAsia="Times New Roman" w:cs="Times New Roman"/>
                <w:i/>
                <w:sz w:val="20"/>
                <w:szCs w:val="20"/>
                <w:lang w:val="en-GB"/>
              </w:rPr>
              <w:t xml:space="preserve"> (</w:t>
            </w:r>
            <w:r w:rsidR="00B95D6A" w:rsidRPr="006314C9">
              <w:rPr>
                <w:rFonts w:eastAsia="Times New Roman" w:cs="Times New Roman"/>
                <w:b/>
                <w:i/>
                <w:sz w:val="20"/>
                <w:szCs w:val="20"/>
                <w:lang w:val="en-GB"/>
              </w:rPr>
              <w:t>EU ETS)</w:t>
            </w:r>
          </w:p>
        </w:tc>
        <w:tc>
          <w:tcPr>
            <w:tcW w:w="2395" w:type="dxa"/>
          </w:tcPr>
          <w:p w:rsidR="00EA12A1" w:rsidRPr="006314C9" w:rsidRDefault="00EA12A1" w:rsidP="001970C3">
            <w:pPr>
              <w:spacing w:before="60" w:after="60"/>
              <w:contextualSpacing/>
              <w:rPr>
                <w:rFonts w:cs="Times New Roman"/>
                <w:sz w:val="20"/>
                <w:szCs w:val="20"/>
                <w:lang w:val="en-GB"/>
              </w:rPr>
            </w:pPr>
            <w:r w:rsidRPr="006314C9">
              <w:rPr>
                <w:rFonts w:cs="Times New Roman"/>
                <w:sz w:val="20"/>
                <w:szCs w:val="20"/>
                <w:lang w:val="en-GB"/>
              </w:rPr>
              <w:t>MTE</w:t>
            </w:r>
          </w:p>
        </w:tc>
        <w:tc>
          <w:tcPr>
            <w:tcW w:w="2393" w:type="dxa"/>
          </w:tcPr>
          <w:p w:rsidR="00EA12A1" w:rsidRPr="006314C9" w:rsidRDefault="00EA12A1">
            <w:pPr>
              <w:spacing w:before="60" w:after="60"/>
              <w:contextualSpacing/>
              <w:rPr>
                <w:rFonts w:cs="Times New Roman"/>
                <w:sz w:val="20"/>
                <w:szCs w:val="20"/>
                <w:lang w:val="en-GB"/>
              </w:rPr>
            </w:pPr>
            <w:r w:rsidRPr="006314C9">
              <w:rPr>
                <w:rFonts w:cs="Times New Roman"/>
                <w:sz w:val="20"/>
                <w:szCs w:val="20"/>
                <w:lang w:val="en-GB"/>
              </w:rPr>
              <w:t>Not transposed;</w:t>
            </w:r>
          </w:p>
        </w:tc>
        <w:tc>
          <w:tcPr>
            <w:tcW w:w="2395" w:type="dxa"/>
          </w:tcPr>
          <w:p w:rsidR="00EA12A1" w:rsidRPr="006314C9" w:rsidRDefault="00EA12A1">
            <w:pPr>
              <w:spacing w:before="60" w:after="60"/>
              <w:contextualSpacing/>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EA12A1" w:rsidRPr="006314C9" w:rsidTr="00E646A0">
        <w:tc>
          <w:tcPr>
            <w:tcW w:w="2393" w:type="dxa"/>
          </w:tcPr>
          <w:p w:rsidR="00EA12A1" w:rsidRPr="006314C9" w:rsidRDefault="00EA12A1" w:rsidP="00BB56CF">
            <w:pPr>
              <w:spacing w:before="60" w:after="60"/>
              <w:contextualSpacing/>
              <w:rPr>
                <w:rFonts w:cs="Times New Roman"/>
                <w:sz w:val="20"/>
                <w:szCs w:val="20"/>
                <w:lang w:val="en-GB"/>
              </w:rPr>
            </w:pPr>
            <w:r w:rsidRPr="006314C9">
              <w:rPr>
                <w:rFonts w:cs="Times New Roman"/>
                <w:sz w:val="20"/>
                <w:szCs w:val="20"/>
                <w:lang w:val="en-GB"/>
              </w:rPr>
              <w:t xml:space="preserve">406/2009/EC </w:t>
            </w:r>
            <w:r w:rsidR="00B95D6A" w:rsidRPr="006314C9">
              <w:rPr>
                <w:rFonts w:cs="Times New Roman"/>
                <w:b/>
                <w:i/>
                <w:sz w:val="20"/>
                <w:szCs w:val="20"/>
                <w:lang w:val="en-GB"/>
              </w:rPr>
              <w:t>Effort Sharing Decision</w:t>
            </w:r>
          </w:p>
        </w:tc>
        <w:tc>
          <w:tcPr>
            <w:tcW w:w="2395" w:type="dxa"/>
          </w:tcPr>
          <w:p w:rsidR="00EA12A1" w:rsidRPr="006314C9" w:rsidRDefault="00EA12A1" w:rsidP="007B0BC7">
            <w:pPr>
              <w:spacing w:before="60" w:after="60"/>
              <w:contextualSpacing/>
              <w:rPr>
                <w:rFonts w:cs="Times New Roman"/>
                <w:sz w:val="20"/>
                <w:szCs w:val="20"/>
                <w:highlight w:val="green"/>
                <w:lang w:val="en-GB"/>
              </w:rPr>
            </w:pPr>
            <w:r w:rsidRPr="006314C9">
              <w:rPr>
                <w:rFonts w:cs="Times New Roman"/>
                <w:sz w:val="20"/>
                <w:szCs w:val="20"/>
                <w:lang w:val="en-GB"/>
              </w:rPr>
              <w:t>MTE</w:t>
            </w:r>
          </w:p>
        </w:tc>
        <w:tc>
          <w:tcPr>
            <w:tcW w:w="2393" w:type="dxa"/>
          </w:tcPr>
          <w:p w:rsidR="00EA12A1" w:rsidRPr="006314C9" w:rsidRDefault="00EA12A1">
            <w:pPr>
              <w:spacing w:before="60" w:after="60"/>
              <w:contextualSpacing/>
              <w:rPr>
                <w:rFonts w:cs="Times New Roman"/>
                <w:sz w:val="20"/>
                <w:szCs w:val="20"/>
                <w:lang w:val="en-GB"/>
              </w:rPr>
            </w:pPr>
            <w:r w:rsidRPr="006314C9">
              <w:rPr>
                <w:rFonts w:cs="Times New Roman"/>
                <w:sz w:val="20"/>
                <w:szCs w:val="20"/>
                <w:lang w:val="en-GB"/>
              </w:rPr>
              <w:t>Not transposed</w:t>
            </w:r>
          </w:p>
        </w:tc>
        <w:tc>
          <w:tcPr>
            <w:tcW w:w="2395" w:type="dxa"/>
          </w:tcPr>
          <w:p w:rsidR="00EA12A1" w:rsidRPr="006314C9" w:rsidRDefault="00EA12A1">
            <w:pPr>
              <w:spacing w:before="60" w:after="60"/>
              <w:contextualSpacing/>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EA12A1" w:rsidRPr="006314C9" w:rsidTr="00E646A0">
        <w:tc>
          <w:tcPr>
            <w:tcW w:w="2393" w:type="dxa"/>
          </w:tcPr>
          <w:p w:rsidR="00EA12A1" w:rsidRPr="006314C9" w:rsidRDefault="00EA12A1" w:rsidP="00BB56CF">
            <w:pPr>
              <w:spacing w:before="60" w:after="60"/>
              <w:contextualSpacing/>
              <w:rPr>
                <w:rFonts w:cs="Times New Roman"/>
                <w:sz w:val="20"/>
                <w:szCs w:val="20"/>
                <w:lang w:val="en-GB"/>
              </w:rPr>
            </w:pPr>
            <w:r w:rsidRPr="006314C9">
              <w:rPr>
                <w:rFonts w:cs="Times New Roman"/>
                <w:sz w:val="20"/>
                <w:szCs w:val="20"/>
                <w:lang w:val="en-GB"/>
              </w:rPr>
              <w:t xml:space="preserve">Regulation (EC) 1005/2009 </w:t>
            </w:r>
            <w:r w:rsidR="00B95D6A" w:rsidRPr="006314C9">
              <w:rPr>
                <w:rFonts w:cs="Times New Roman"/>
                <w:b/>
                <w:i/>
                <w:sz w:val="20"/>
                <w:szCs w:val="20"/>
                <w:lang w:val="en-GB"/>
              </w:rPr>
              <w:t>Ozone Depleting Substances</w:t>
            </w:r>
          </w:p>
        </w:tc>
        <w:tc>
          <w:tcPr>
            <w:tcW w:w="2395" w:type="dxa"/>
          </w:tcPr>
          <w:p w:rsidR="00EA12A1" w:rsidRPr="006314C9" w:rsidRDefault="00B95D6A" w:rsidP="001970C3">
            <w:pPr>
              <w:spacing w:before="60" w:after="60"/>
              <w:contextualSpacing/>
              <w:rPr>
                <w:rFonts w:cs="Times New Roman"/>
                <w:sz w:val="20"/>
                <w:szCs w:val="20"/>
                <w:lang w:val="en-GB"/>
              </w:rPr>
            </w:pPr>
            <w:r w:rsidRPr="006314C9">
              <w:rPr>
                <w:rFonts w:cs="Times New Roman"/>
                <w:sz w:val="20"/>
                <w:szCs w:val="20"/>
                <w:lang w:val="en-GB"/>
              </w:rPr>
              <w:t>MTE</w:t>
            </w:r>
          </w:p>
          <w:p w:rsidR="00EA12A1" w:rsidRPr="006314C9" w:rsidRDefault="00EA12A1" w:rsidP="007B0BC7">
            <w:pPr>
              <w:spacing w:before="60" w:after="60"/>
              <w:contextualSpacing/>
              <w:rPr>
                <w:rFonts w:cs="Times New Roman"/>
                <w:sz w:val="20"/>
                <w:szCs w:val="20"/>
                <w:lang w:val="en-GB"/>
              </w:rPr>
            </w:pPr>
          </w:p>
        </w:tc>
        <w:tc>
          <w:tcPr>
            <w:tcW w:w="2393" w:type="dxa"/>
          </w:tcPr>
          <w:p w:rsidR="00EA12A1" w:rsidRPr="006314C9" w:rsidRDefault="00EA12A1" w:rsidP="001970C3">
            <w:pPr>
              <w:spacing w:before="60" w:after="60"/>
              <w:contextualSpacing/>
              <w:rPr>
                <w:rFonts w:cs="Times New Roman"/>
                <w:sz w:val="20"/>
                <w:szCs w:val="20"/>
                <w:lang w:val="en-GB"/>
              </w:rPr>
            </w:pPr>
            <w:r w:rsidRPr="006314C9">
              <w:rPr>
                <w:rFonts w:cs="Times New Roman"/>
                <w:sz w:val="20"/>
                <w:szCs w:val="20"/>
                <w:lang w:val="en-GB"/>
              </w:rPr>
              <w:t>Partially;</w:t>
            </w:r>
          </w:p>
          <w:p w:rsidR="00EA12A1" w:rsidRPr="006314C9" w:rsidRDefault="00B95D6A" w:rsidP="00EA12A1">
            <w:pPr>
              <w:spacing w:before="60" w:after="60"/>
              <w:contextualSpacing/>
              <w:rPr>
                <w:rFonts w:cs="Times New Roman"/>
                <w:sz w:val="20"/>
                <w:szCs w:val="20"/>
                <w:lang w:val="en-GB"/>
              </w:rPr>
            </w:pPr>
            <w:r w:rsidRPr="006314C9">
              <w:rPr>
                <w:rFonts w:cs="Times New Roman"/>
                <w:sz w:val="20"/>
                <w:szCs w:val="20"/>
                <w:lang w:val="en-GB"/>
              </w:rPr>
              <w:t>22</w:t>
            </w:r>
            <w:r w:rsidR="00EA12A1" w:rsidRPr="006314C9">
              <w:rPr>
                <w:rFonts w:cs="Times New Roman"/>
                <w:sz w:val="20"/>
                <w:szCs w:val="20"/>
                <w:lang w:val="en-GB"/>
              </w:rPr>
              <w:t xml:space="preserve">,7% </w:t>
            </w:r>
          </w:p>
        </w:tc>
        <w:tc>
          <w:tcPr>
            <w:tcW w:w="2395" w:type="dxa"/>
          </w:tcPr>
          <w:p w:rsidR="00EA12A1" w:rsidRPr="006314C9" w:rsidRDefault="00B95D6A">
            <w:pPr>
              <w:spacing w:before="60" w:after="60"/>
              <w:contextualSpacing/>
              <w:rPr>
                <w:rFonts w:eastAsia="Times New Roman" w:cs="Times New Roman"/>
                <w:color w:val="000000"/>
                <w:sz w:val="20"/>
                <w:szCs w:val="20"/>
                <w:lang w:val="en-GB"/>
              </w:rPr>
            </w:pPr>
            <w:r w:rsidRPr="006314C9">
              <w:rPr>
                <w:rFonts w:cs="Times New Roman"/>
                <w:sz w:val="20"/>
                <w:szCs w:val="20"/>
                <w:lang w:val="en-GB"/>
              </w:rPr>
              <w:t>Initial</w:t>
            </w:r>
            <w:r w:rsidR="00EA12A1" w:rsidRPr="006314C9">
              <w:rPr>
                <w:rFonts w:cs="Times New Roman"/>
                <w:sz w:val="20"/>
                <w:szCs w:val="20"/>
                <w:lang w:val="en-GB"/>
              </w:rPr>
              <w:t xml:space="preserve"> stage</w:t>
            </w:r>
          </w:p>
        </w:tc>
      </w:tr>
      <w:tr w:rsidR="00EA12A1" w:rsidRPr="006314C9" w:rsidTr="00EA12A1">
        <w:tc>
          <w:tcPr>
            <w:tcW w:w="2393" w:type="dxa"/>
          </w:tcPr>
          <w:p w:rsidR="00EA12A1" w:rsidRPr="006314C9" w:rsidRDefault="00EA12A1" w:rsidP="00EA12A1">
            <w:pPr>
              <w:spacing w:before="60" w:after="60"/>
              <w:contextualSpacing/>
              <w:rPr>
                <w:sz w:val="20"/>
                <w:szCs w:val="20"/>
                <w:lang w:val="en-GB"/>
              </w:rPr>
            </w:pPr>
            <w:r w:rsidRPr="006314C9">
              <w:rPr>
                <w:rFonts w:cs="Times New Roman"/>
                <w:sz w:val="20"/>
                <w:szCs w:val="20"/>
                <w:lang w:val="en-GB"/>
              </w:rPr>
              <w:t xml:space="preserve">Directive 2009/31/EC </w:t>
            </w:r>
            <w:r w:rsidR="00B95D6A" w:rsidRPr="006314C9">
              <w:rPr>
                <w:rFonts w:cs="Times New Roman"/>
                <w:b/>
                <w:i/>
                <w:sz w:val="20"/>
                <w:szCs w:val="20"/>
                <w:lang w:val="en-GB"/>
              </w:rPr>
              <w:t>Carbon Capture and Storage</w:t>
            </w:r>
          </w:p>
        </w:tc>
        <w:tc>
          <w:tcPr>
            <w:tcW w:w="2395" w:type="dxa"/>
          </w:tcPr>
          <w:p w:rsidR="00EA12A1" w:rsidRPr="006314C9" w:rsidRDefault="00B95D6A" w:rsidP="00EA12A1">
            <w:pPr>
              <w:spacing w:before="60" w:after="60"/>
              <w:contextualSpacing/>
              <w:rPr>
                <w:rFonts w:cs="Times New Roman"/>
                <w:sz w:val="20"/>
                <w:szCs w:val="20"/>
                <w:lang w:val="en-GB"/>
              </w:rPr>
            </w:pPr>
            <w:r w:rsidRPr="006314C9">
              <w:rPr>
                <w:rFonts w:cs="Times New Roman"/>
                <w:sz w:val="20"/>
                <w:szCs w:val="20"/>
                <w:lang w:val="en-GB"/>
              </w:rPr>
              <w:t>MTE</w:t>
            </w:r>
          </w:p>
          <w:p w:rsidR="00EA12A1" w:rsidRPr="006314C9" w:rsidRDefault="00EA12A1" w:rsidP="00EA12A1">
            <w:pPr>
              <w:keepNext/>
              <w:keepLines/>
              <w:spacing w:before="60" w:after="60"/>
              <w:contextualSpacing/>
              <w:outlineLvl w:val="2"/>
              <w:rPr>
                <w:rFonts w:cs="Times New Roman"/>
                <w:sz w:val="20"/>
                <w:szCs w:val="20"/>
                <w:lang w:val="en-GB"/>
              </w:rPr>
            </w:pPr>
          </w:p>
        </w:tc>
        <w:tc>
          <w:tcPr>
            <w:tcW w:w="2393" w:type="dxa"/>
          </w:tcPr>
          <w:p w:rsidR="00EA12A1" w:rsidRPr="006314C9" w:rsidRDefault="00B95D6A" w:rsidP="00EA12A1">
            <w:pPr>
              <w:spacing w:before="60" w:after="60"/>
              <w:contextualSpacing/>
              <w:rPr>
                <w:rFonts w:cs="Times New Roman"/>
                <w:sz w:val="20"/>
                <w:szCs w:val="20"/>
                <w:lang w:val="en-GB"/>
              </w:rPr>
            </w:pPr>
            <w:r w:rsidRPr="006314C9">
              <w:rPr>
                <w:rFonts w:cs="Times New Roman"/>
                <w:sz w:val="20"/>
                <w:szCs w:val="20"/>
                <w:lang w:val="en-GB"/>
              </w:rPr>
              <w:t>Not transposed</w:t>
            </w:r>
          </w:p>
        </w:tc>
        <w:tc>
          <w:tcPr>
            <w:tcW w:w="2395" w:type="dxa"/>
          </w:tcPr>
          <w:p w:rsidR="00EA12A1" w:rsidRPr="006314C9" w:rsidRDefault="00B95D6A" w:rsidP="00EA12A1">
            <w:pPr>
              <w:spacing w:before="60" w:after="60"/>
              <w:contextualSpacing/>
              <w:rPr>
                <w:rFonts w:cs="Times New Roman"/>
                <w:sz w:val="20"/>
                <w:szCs w:val="20"/>
                <w:lang w:val="en-GB"/>
              </w:rPr>
            </w:pPr>
            <w:r w:rsidRPr="006314C9">
              <w:rPr>
                <w:rFonts w:eastAsia="Times New Roman" w:cs="Times New Roman"/>
                <w:color w:val="000000"/>
                <w:sz w:val="20"/>
                <w:szCs w:val="20"/>
                <w:lang w:val="en-GB"/>
              </w:rPr>
              <w:t>Not implemented</w:t>
            </w:r>
          </w:p>
        </w:tc>
      </w:tr>
      <w:tr w:rsidR="00EA12A1" w:rsidRPr="006314C9" w:rsidTr="00E646A0">
        <w:tc>
          <w:tcPr>
            <w:tcW w:w="2393" w:type="dxa"/>
          </w:tcPr>
          <w:p w:rsidR="00EA12A1" w:rsidRPr="006314C9" w:rsidRDefault="00EA12A1" w:rsidP="00BB56CF">
            <w:pPr>
              <w:spacing w:before="60" w:after="60"/>
              <w:contextualSpacing/>
              <w:rPr>
                <w:rFonts w:cs="Times New Roman"/>
                <w:sz w:val="20"/>
                <w:szCs w:val="20"/>
                <w:lang w:val="en-GB"/>
              </w:rPr>
            </w:pPr>
            <w:r w:rsidRPr="006314C9">
              <w:rPr>
                <w:rFonts w:cs="Times New Roman"/>
                <w:sz w:val="20"/>
                <w:szCs w:val="20"/>
                <w:lang w:val="en-GB"/>
              </w:rPr>
              <w:t xml:space="preserve">Regulation EU 517/2014 on </w:t>
            </w:r>
            <w:r w:rsidR="00B95D6A" w:rsidRPr="006314C9">
              <w:rPr>
                <w:rFonts w:cs="Times New Roman"/>
                <w:b/>
                <w:i/>
                <w:sz w:val="20"/>
                <w:szCs w:val="20"/>
                <w:lang w:val="en-GB"/>
              </w:rPr>
              <w:t>Fluorinated gases</w:t>
            </w:r>
          </w:p>
        </w:tc>
        <w:tc>
          <w:tcPr>
            <w:tcW w:w="2395" w:type="dxa"/>
          </w:tcPr>
          <w:p w:rsidR="00EA12A1" w:rsidRPr="006314C9" w:rsidRDefault="00B95D6A" w:rsidP="001970C3">
            <w:pPr>
              <w:spacing w:before="60" w:after="60"/>
              <w:contextualSpacing/>
              <w:rPr>
                <w:rFonts w:cs="Times New Roman"/>
                <w:sz w:val="20"/>
                <w:szCs w:val="20"/>
                <w:lang w:val="en-GB"/>
              </w:rPr>
            </w:pPr>
            <w:r w:rsidRPr="006314C9">
              <w:rPr>
                <w:rFonts w:cs="Times New Roman"/>
                <w:sz w:val="20"/>
                <w:szCs w:val="20"/>
                <w:lang w:val="en-GB"/>
              </w:rPr>
              <w:t>MTE</w:t>
            </w:r>
          </w:p>
          <w:p w:rsidR="00EA12A1" w:rsidRPr="006314C9" w:rsidRDefault="00EA12A1" w:rsidP="007B0BC7">
            <w:pPr>
              <w:spacing w:before="60" w:after="60"/>
              <w:contextualSpacing/>
              <w:rPr>
                <w:rFonts w:cs="Times New Roman"/>
                <w:sz w:val="20"/>
                <w:szCs w:val="20"/>
                <w:lang w:val="en-GB"/>
              </w:rPr>
            </w:pPr>
          </w:p>
        </w:tc>
        <w:tc>
          <w:tcPr>
            <w:tcW w:w="2393" w:type="dxa"/>
          </w:tcPr>
          <w:p w:rsidR="00EA12A1" w:rsidRPr="006314C9" w:rsidRDefault="00EA12A1" w:rsidP="001970C3">
            <w:pPr>
              <w:spacing w:before="60" w:after="60"/>
              <w:contextualSpacing/>
              <w:rPr>
                <w:rFonts w:cs="Times New Roman"/>
                <w:sz w:val="20"/>
                <w:szCs w:val="20"/>
                <w:lang w:val="en-GB"/>
              </w:rPr>
            </w:pPr>
            <w:r w:rsidRPr="006314C9">
              <w:rPr>
                <w:rFonts w:cs="Times New Roman"/>
                <w:sz w:val="20"/>
                <w:szCs w:val="20"/>
                <w:lang w:val="en-GB"/>
              </w:rPr>
              <w:t xml:space="preserve">Advanced; </w:t>
            </w:r>
          </w:p>
          <w:p w:rsidR="00EA12A1" w:rsidRPr="006314C9" w:rsidRDefault="00B95D6A">
            <w:pPr>
              <w:spacing w:before="60" w:after="60"/>
              <w:contextualSpacing/>
              <w:rPr>
                <w:rFonts w:cs="Times New Roman"/>
                <w:sz w:val="20"/>
                <w:szCs w:val="20"/>
                <w:lang w:val="en-GB"/>
              </w:rPr>
            </w:pPr>
            <w:r w:rsidRPr="006314C9">
              <w:rPr>
                <w:rFonts w:cs="Times New Roman"/>
                <w:sz w:val="20"/>
                <w:szCs w:val="20"/>
                <w:lang w:val="en-GB"/>
              </w:rPr>
              <w:t>79</w:t>
            </w:r>
            <w:r w:rsidR="00EA12A1" w:rsidRPr="006314C9">
              <w:rPr>
                <w:rFonts w:cs="Times New Roman"/>
                <w:sz w:val="20"/>
                <w:szCs w:val="20"/>
                <w:lang w:val="en-GB"/>
              </w:rPr>
              <w:t xml:space="preserve">,1% </w:t>
            </w:r>
          </w:p>
        </w:tc>
        <w:tc>
          <w:tcPr>
            <w:tcW w:w="2395" w:type="dxa"/>
          </w:tcPr>
          <w:p w:rsidR="00EA12A1" w:rsidRPr="006314C9" w:rsidRDefault="00B95D6A">
            <w:pPr>
              <w:spacing w:before="60" w:after="60"/>
              <w:contextualSpacing/>
              <w:rPr>
                <w:rFonts w:eastAsia="Times New Roman" w:cs="Times New Roman"/>
                <w:color w:val="000000"/>
                <w:sz w:val="20"/>
                <w:szCs w:val="20"/>
                <w:lang w:val="en-GB"/>
              </w:rPr>
            </w:pPr>
            <w:r w:rsidRPr="006314C9">
              <w:rPr>
                <w:rFonts w:cs="Times New Roman"/>
                <w:sz w:val="20"/>
                <w:szCs w:val="20"/>
                <w:lang w:val="en-GB"/>
              </w:rPr>
              <w:t>Initial stage</w:t>
            </w:r>
          </w:p>
        </w:tc>
      </w:tr>
      <w:tr w:rsidR="00EA12A1" w:rsidRPr="006314C9" w:rsidTr="00E646A0">
        <w:tc>
          <w:tcPr>
            <w:tcW w:w="2393" w:type="dxa"/>
          </w:tcPr>
          <w:p w:rsidR="00EA12A1" w:rsidRPr="006314C9" w:rsidRDefault="00EA12A1" w:rsidP="00BB56CF">
            <w:pPr>
              <w:spacing w:before="60" w:after="60"/>
              <w:contextualSpacing/>
              <w:rPr>
                <w:rFonts w:cs="Times New Roman"/>
                <w:sz w:val="20"/>
                <w:szCs w:val="20"/>
                <w:lang w:val="en-GB"/>
              </w:rPr>
            </w:pPr>
            <w:r w:rsidRPr="006314C9">
              <w:rPr>
                <w:rFonts w:cs="Times New Roman"/>
                <w:sz w:val="20"/>
                <w:szCs w:val="20"/>
                <w:lang w:val="en-GB"/>
              </w:rPr>
              <w:t xml:space="preserve">Directive 98/70/EC </w:t>
            </w:r>
            <w:r w:rsidR="00B95D6A" w:rsidRPr="006314C9">
              <w:rPr>
                <w:rFonts w:cs="Times New Roman"/>
                <w:b/>
                <w:i/>
                <w:sz w:val="20"/>
                <w:szCs w:val="20"/>
                <w:lang w:val="en-GB"/>
              </w:rPr>
              <w:t>Fuel Quality</w:t>
            </w:r>
          </w:p>
        </w:tc>
        <w:tc>
          <w:tcPr>
            <w:tcW w:w="2395" w:type="dxa"/>
          </w:tcPr>
          <w:p w:rsidR="00EA12A1" w:rsidRPr="006314C9" w:rsidRDefault="00B95D6A" w:rsidP="007B0BC7">
            <w:pPr>
              <w:spacing w:before="60" w:after="60"/>
              <w:contextualSpacing/>
              <w:rPr>
                <w:rFonts w:cs="Times New Roman"/>
                <w:sz w:val="20"/>
                <w:szCs w:val="20"/>
                <w:lang w:val="en-GB"/>
              </w:rPr>
            </w:pPr>
            <w:r w:rsidRPr="006314C9">
              <w:rPr>
                <w:rFonts w:cs="Times New Roman"/>
                <w:sz w:val="20"/>
                <w:szCs w:val="20"/>
                <w:lang w:val="en-GB"/>
              </w:rPr>
              <w:t xml:space="preserve">Ministry of Infrastructure and Energy </w:t>
            </w:r>
            <w:r w:rsidR="00EA12A1" w:rsidRPr="006314C9">
              <w:rPr>
                <w:rFonts w:cs="Times New Roman"/>
                <w:sz w:val="20"/>
                <w:szCs w:val="20"/>
                <w:lang w:val="en-GB"/>
              </w:rPr>
              <w:t>(MIE)</w:t>
            </w:r>
          </w:p>
        </w:tc>
        <w:tc>
          <w:tcPr>
            <w:tcW w:w="2393" w:type="dxa"/>
          </w:tcPr>
          <w:p w:rsidR="00EA12A1" w:rsidRPr="006314C9" w:rsidRDefault="00EA12A1" w:rsidP="001970C3">
            <w:pPr>
              <w:spacing w:before="60" w:after="60"/>
              <w:contextualSpacing/>
              <w:rPr>
                <w:rFonts w:cs="Times New Roman"/>
                <w:sz w:val="20"/>
                <w:szCs w:val="20"/>
                <w:lang w:val="en-GB"/>
              </w:rPr>
            </w:pPr>
            <w:r w:rsidRPr="006314C9">
              <w:rPr>
                <w:rFonts w:cs="Times New Roman"/>
                <w:sz w:val="20"/>
                <w:szCs w:val="20"/>
                <w:lang w:val="en-GB"/>
              </w:rPr>
              <w:t>Partially;</w:t>
            </w:r>
          </w:p>
          <w:p w:rsidR="00EA12A1" w:rsidRPr="006314C9" w:rsidRDefault="00B95D6A">
            <w:pPr>
              <w:spacing w:before="60" w:after="60"/>
              <w:contextualSpacing/>
              <w:rPr>
                <w:rFonts w:cs="Times New Roman"/>
                <w:sz w:val="20"/>
                <w:szCs w:val="20"/>
                <w:lang w:val="en-GB"/>
              </w:rPr>
            </w:pPr>
            <w:r w:rsidRPr="006314C9">
              <w:rPr>
                <w:rFonts w:cs="Times New Roman"/>
                <w:sz w:val="20"/>
                <w:szCs w:val="20"/>
                <w:lang w:val="en-GB"/>
              </w:rPr>
              <w:t>29</w:t>
            </w:r>
            <w:r w:rsidR="00EA12A1" w:rsidRPr="006314C9">
              <w:rPr>
                <w:rFonts w:cs="Times New Roman"/>
                <w:sz w:val="20"/>
                <w:szCs w:val="20"/>
                <w:lang w:val="en-GB"/>
              </w:rPr>
              <w:t xml:space="preserve">% </w:t>
            </w:r>
          </w:p>
        </w:tc>
        <w:tc>
          <w:tcPr>
            <w:tcW w:w="2395" w:type="dxa"/>
          </w:tcPr>
          <w:p w:rsidR="00EA12A1" w:rsidRPr="006314C9" w:rsidRDefault="00B95D6A">
            <w:pPr>
              <w:spacing w:before="60" w:after="60"/>
              <w:contextualSpacing/>
              <w:rPr>
                <w:rFonts w:eastAsia="Times New Roman" w:cs="Times New Roman"/>
                <w:color w:val="000000"/>
                <w:sz w:val="20"/>
                <w:szCs w:val="20"/>
                <w:lang w:val="en-GB"/>
              </w:rPr>
            </w:pPr>
            <w:r w:rsidRPr="006314C9">
              <w:rPr>
                <w:rFonts w:cs="Times New Roman"/>
                <w:sz w:val="20"/>
                <w:szCs w:val="20"/>
                <w:lang w:val="en-GB"/>
              </w:rPr>
              <w:t>Initial stage</w:t>
            </w:r>
          </w:p>
        </w:tc>
      </w:tr>
      <w:tr w:rsidR="00EA12A1" w:rsidRPr="006314C9" w:rsidTr="00E646A0">
        <w:tc>
          <w:tcPr>
            <w:tcW w:w="2393" w:type="dxa"/>
          </w:tcPr>
          <w:p w:rsidR="00EA12A1" w:rsidRPr="006314C9" w:rsidRDefault="00EA12A1" w:rsidP="00BB56CF">
            <w:pPr>
              <w:spacing w:before="60" w:after="60"/>
              <w:contextualSpacing/>
              <w:rPr>
                <w:rFonts w:cs="Times New Roman"/>
                <w:sz w:val="20"/>
                <w:szCs w:val="20"/>
                <w:lang w:val="en-GB"/>
              </w:rPr>
            </w:pPr>
            <w:r w:rsidRPr="006314C9">
              <w:rPr>
                <w:rFonts w:cs="Times New Roman"/>
                <w:sz w:val="20"/>
                <w:szCs w:val="20"/>
                <w:lang w:val="en-GB"/>
              </w:rPr>
              <w:t xml:space="preserve">Directive 1999/94/EC </w:t>
            </w:r>
            <w:r w:rsidR="00B95D6A" w:rsidRPr="006314C9">
              <w:rPr>
                <w:rFonts w:cs="Times New Roman"/>
                <w:b/>
                <w:i/>
                <w:sz w:val="20"/>
                <w:szCs w:val="20"/>
                <w:lang w:val="en-GB"/>
              </w:rPr>
              <w:t>CO2 emissions from cars and vans</w:t>
            </w:r>
          </w:p>
        </w:tc>
        <w:tc>
          <w:tcPr>
            <w:tcW w:w="2395" w:type="dxa"/>
          </w:tcPr>
          <w:p w:rsidR="00EA12A1" w:rsidRPr="006314C9" w:rsidRDefault="00EA12A1" w:rsidP="007B0BC7">
            <w:pPr>
              <w:spacing w:before="60" w:after="60"/>
              <w:contextualSpacing/>
              <w:rPr>
                <w:rFonts w:cs="Times New Roman"/>
                <w:sz w:val="20"/>
                <w:szCs w:val="20"/>
                <w:highlight w:val="green"/>
                <w:lang w:val="en-GB"/>
              </w:rPr>
            </w:pPr>
            <w:r w:rsidRPr="006314C9">
              <w:rPr>
                <w:rFonts w:cs="Times New Roman"/>
                <w:sz w:val="20"/>
                <w:szCs w:val="20"/>
                <w:lang w:val="en-GB"/>
              </w:rPr>
              <w:t>Not determined yet</w:t>
            </w:r>
          </w:p>
        </w:tc>
        <w:tc>
          <w:tcPr>
            <w:tcW w:w="2393" w:type="dxa"/>
          </w:tcPr>
          <w:p w:rsidR="00EA12A1" w:rsidRPr="006314C9" w:rsidRDefault="00EA12A1">
            <w:pPr>
              <w:spacing w:before="60" w:after="60"/>
              <w:contextualSpacing/>
              <w:rPr>
                <w:rFonts w:cs="Times New Roman"/>
                <w:sz w:val="20"/>
                <w:szCs w:val="20"/>
                <w:lang w:val="en-GB"/>
              </w:rPr>
            </w:pPr>
            <w:r w:rsidRPr="006314C9">
              <w:rPr>
                <w:rFonts w:cs="Times New Roman"/>
                <w:sz w:val="20"/>
                <w:szCs w:val="20"/>
                <w:lang w:val="en-GB"/>
              </w:rPr>
              <w:t xml:space="preserve">Initial stage; </w:t>
            </w:r>
          </w:p>
          <w:p w:rsidR="00EA12A1" w:rsidRPr="006314C9" w:rsidRDefault="00B95D6A" w:rsidP="00EA12A1">
            <w:pPr>
              <w:spacing w:before="60" w:after="60"/>
              <w:contextualSpacing/>
              <w:rPr>
                <w:rFonts w:cs="Times New Roman"/>
                <w:sz w:val="20"/>
                <w:szCs w:val="20"/>
                <w:lang w:val="en-GB"/>
              </w:rPr>
            </w:pPr>
            <w:r w:rsidRPr="006314C9">
              <w:rPr>
                <w:rFonts w:cs="Times New Roman"/>
                <w:sz w:val="20"/>
                <w:szCs w:val="20"/>
                <w:lang w:val="en-GB"/>
              </w:rPr>
              <w:t>15</w:t>
            </w:r>
            <w:r w:rsidR="00EA12A1" w:rsidRPr="006314C9">
              <w:rPr>
                <w:rFonts w:cs="Times New Roman"/>
                <w:sz w:val="20"/>
                <w:szCs w:val="20"/>
                <w:lang w:val="en-GB"/>
              </w:rPr>
              <w:t>,6%</w:t>
            </w:r>
          </w:p>
        </w:tc>
        <w:tc>
          <w:tcPr>
            <w:tcW w:w="2395" w:type="dxa"/>
          </w:tcPr>
          <w:p w:rsidR="00694EE8" w:rsidRPr="006314C9" w:rsidRDefault="00EA12A1">
            <w:pPr>
              <w:spacing w:before="60" w:after="60"/>
              <w:contextualSpacing/>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EA12A1" w:rsidRPr="006314C9" w:rsidTr="00E646A0">
        <w:tc>
          <w:tcPr>
            <w:tcW w:w="2393" w:type="dxa"/>
          </w:tcPr>
          <w:p w:rsidR="00EA12A1" w:rsidRPr="006314C9" w:rsidRDefault="00EA12A1" w:rsidP="00BB56CF">
            <w:pPr>
              <w:spacing w:before="60" w:after="60"/>
              <w:contextualSpacing/>
              <w:rPr>
                <w:rFonts w:cs="Times New Roman"/>
                <w:sz w:val="20"/>
                <w:szCs w:val="20"/>
                <w:lang w:val="en-GB"/>
              </w:rPr>
            </w:pPr>
            <w:r w:rsidRPr="006314C9">
              <w:rPr>
                <w:rFonts w:cs="Times New Roman"/>
                <w:sz w:val="20"/>
                <w:szCs w:val="20"/>
                <w:lang w:val="en-GB"/>
              </w:rPr>
              <w:t xml:space="preserve">Regulation (EC) 443/2009 </w:t>
            </w:r>
            <w:r w:rsidR="00B95D6A" w:rsidRPr="006314C9">
              <w:rPr>
                <w:rFonts w:cs="Times New Roman"/>
                <w:b/>
                <w:i/>
                <w:sz w:val="20"/>
                <w:szCs w:val="20"/>
                <w:lang w:val="en-GB"/>
              </w:rPr>
              <w:t>New Passengers Car</w:t>
            </w:r>
          </w:p>
        </w:tc>
        <w:tc>
          <w:tcPr>
            <w:tcW w:w="2395" w:type="dxa"/>
          </w:tcPr>
          <w:p w:rsidR="00EA12A1" w:rsidRPr="006314C9" w:rsidRDefault="00EA12A1" w:rsidP="007B0BC7">
            <w:pPr>
              <w:spacing w:before="60" w:after="60"/>
              <w:contextualSpacing/>
              <w:rPr>
                <w:rFonts w:cs="Times New Roman"/>
                <w:sz w:val="20"/>
                <w:szCs w:val="20"/>
                <w:highlight w:val="green"/>
                <w:lang w:val="en-GB"/>
              </w:rPr>
            </w:pPr>
            <w:r w:rsidRPr="006314C9">
              <w:rPr>
                <w:rFonts w:cs="Times New Roman"/>
                <w:sz w:val="20"/>
                <w:szCs w:val="20"/>
                <w:lang w:val="en-GB"/>
              </w:rPr>
              <w:t>Not determined yet</w:t>
            </w:r>
          </w:p>
        </w:tc>
        <w:tc>
          <w:tcPr>
            <w:tcW w:w="2393" w:type="dxa"/>
          </w:tcPr>
          <w:p w:rsidR="00EA12A1" w:rsidRPr="006314C9" w:rsidRDefault="00EA12A1">
            <w:pPr>
              <w:spacing w:before="60" w:after="60"/>
              <w:contextualSpacing/>
              <w:rPr>
                <w:rFonts w:cs="Times New Roman"/>
                <w:sz w:val="20"/>
                <w:szCs w:val="20"/>
                <w:lang w:val="en-GB"/>
              </w:rPr>
            </w:pPr>
            <w:r w:rsidRPr="006314C9">
              <w:rPr>
                <w:rFonts w:cs="Times New Roman"/>
                <w:sz w:val="20"/>
                <w:szCs w:val="20"/>
                <w:lang w:val="en-GB"/>
              </w:rPr>
              <w:t>Not transposed;</w:t>
            </w:r>
          </w:p>
          <w:p w:rsidR="00EA12A1" w:rsidRPr="006314C9" w:rsidRDefault="00EA12A1">
            <w:pPr>
              <w:spacing w:before="60" w:after="60"/>
              <w:contextualSpacing/>
              <w:rPr>
                <w:rFonts w:cs="Times New Roman"/>
                <w:sz w:val="20"/>
                <w:szCs w:val="20"/>
                <w:lang w:val="en-GB"/>
              </w:rPr>
            </w:pPr>
          </w:p>
        </w:tc>
        <w:tc>
          <w:tcPr>
            <w:tcW w:w="2395" w:type="dxa"/>
          </w:tcPr>
          <w:p w:rsidR="00EA12A1" w:rsidRPr="006314C9" w:rsidRDefault="00EA12A1">
            <w:pPr>
              <w:spacing w:before="60" w:after="60"/>
              <w:contextualSpacing/>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EA12A1" w:rsidRPr="006314C9" w:rsidTr="00E646A0">
        <w:tc>
          <w:tcPr>
            <w:tcW w:w="2393" w:type="dxa"/>
          </w:tcPr>
          <w:p w:rsidR="00EA12A1" w:rsidRPr="006314C9" w:rsidRDefault="00EA12A1" w:rsidP="00BB56CF">
            <w:pPr>
              <w:spacing w:before="60" w:after="60"/>
              <w:contextualSpacing/>
              <w:rPr>
                <w:rFonts w:cs="Times New Roman"/>
                <w:sz w:val="20"/>
                <w:szCs w:val="20"/>
                <w:lang w:val="en-GB"/>
              </w:rPr>
            </w:pPr>
            <w:r w:rsidRPr="006314C9">
              <w:rPr>
                <w:rFonts w:cs="Times New Roman"/>
                <w:sz w:val="20"/>
                <w:szCs w:val="20"/>
                <w:lang w:val="en-GB"/>
              </w:rPr>
              <w:t xml:space="preserve">Regulation  (EU) 510/2011 </w:t>
            </w:r>
            <w:r w:rsidR="00B95D6A" w:rsidRPr="006314C9">
              <w:rPr>
                <w:rFonts w:cs="Times New Roman"/>
                <w:b/>
                <w:i/>
                <w:sz w:val="20"/>
                <w:szCs w:val="20"/>
                <w:lang w:val="en-GB"/>
              </w:rPr>
              <w:t>Light Commercial Vehicles</w:t>
            </w:r>
          </w:p>
        </w:tc>
        <w:tc>
          <w:tcPr>
            <w:tcW w:w="2395" w:type="dxa"/>
          </w:tcPr>
          <w:p w:rsidR="00EA12A1" w:rsidRPr="006314C9" w:rsidRDefault="00EA12A1" w:rsidP="007B0BC7">
            <w:pPr>
              <w:spacing w:before="60" w:after="60"/>
              <w:contextualSpacing/>
              <w:rPr>
                <w:rFonts w:cs="Times New Roman"/>
                <w:sz w:val="20"/>
                <w:szCs w:val="20"/>
                <w:highlight w:val="green"/>
                <w:lang w:val="en-GB"/>
              </w:rPr>
            </w:pPr>
            <w:r w:rsidRPr="006314C9">
              <w:rPr>
                <w:rFonts w:cs="Times New Roman"/>
                <w:sz w:val="20"/>
                <w:szCs w:val="20"/>
                <w:lang w:val="en-GB"/>
              </w:rPr>
              <w:t>Not determined yet</w:t>
            </w:r>
          </w:p>
        </w:tc>
        <w:tc>
          <w:tcPr>
            <w:tcW w:w="2393" w:type="dxa"/>
          </w:tcPr>
          <w:p w:rsidR="00EA12A1" w:rsidRPr="006314C9" w:rsidRDefault="00EA12A1" w:rsidP="00EA12A1">
            <w:pPr>
              <w:spacing w:before="60" w:after="60"/>
              <w:contextualSpacing/>
              <w:rPr>
                <w:rFonts w:cs="Times New Roman"/>
                <w:sz w:val="20"/>
                <w:szCs w:val="20"/>
                <w:lang w:val="en-GB"/>
              </w:rPr>
            </w:pPr>
            <w:r w:rsidRPr="006314C9">
              <w:rPr>
                <w:rFonts w:cs="Times New Roman"/>
                <w:sz w:val="20"/>
                <w:szCs w:val="20"/>
                <w:lang w:val="en-GB"/>
              </w:rPr>
              <w:t>Not transposed;</w:t>
            </w:r>
          </w:p>
          <w:p w:rsidR="00EA12A1" w:rsidRPr="006314C9" w:rsidRDefault="00EA12A1">
            <w:pPr>
              <w:spacing w:before="60" w:after="60"/>
              <w:contextualSpacing/>
              <w:rPr>
                <w:rFonts w:cs="Times New Roman"/>
                <w:sz w:val="20"/>
                <w:szCs w:val="20"/>
                <w:lang w:val="en-GB"/>
              </w:rPr>
            </w:pPr>
          </w:p>
        </w:tc>
        <w:tc>
          <w:tcPr>
            <w:tcW w:w="2395" w:type="dxa"/>
          </w:tcPr>
          <w:p w:rsidR="00EA12A1" w:rsidRPr="006314C9" w:rsidRDefault="00EA12A1">
            <w:pPr>
              <w:spacing w:before="60" w:after="60"/>
              <w:contextualSpacing/>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r w:rsidR="00EA12A1" w:rsidRPr="006314C9" w:rsidTr="00E646A0">
        <w:tc>
          <w:tcPr>
            <w:tcW w:w="2393" w:type="dxa"/>
          </w:tcPr>
          <w:p w:rsidR="00EA12A1" w:rsidRPr="006314C9" w:rsidRDefault="00B95D6A" w:rsidP="00EA12A1">
            <w:pPr>
              <w:spacing w:before="60" w:after="60"/>
              <w:contextualSpacing/>
              <w:rPr>
                <w:rFonts w:cs="Times New Roman"/>
                <w:sz w:val="20"/>
                <w:szCs w:val="20"/>
                <w:lang w:val="en-GB"/>
              </w:rPr>
            </w:pPr>
            <w:r w:rsidRPr="006314C9">
              <w:rPr>
                <w:rFonts w:cs="Times New Roman"/>
                <w:sz w:val="20"/>
                <w:szCs w:val="20"/>
                <w:lang w:val="en-GB"/>
              </w:rPr>
              <w:t xml:space="preserve">Regulation (EU) 2018/841 </w:t>
            </w:r>
            <w:r w:rsidRPr="006314C9">
              <w:rPr>
                <w:rFonts w:cs="Times New Roman"/>
                <w:b/>
                <w:i/>
                <w:sz w:val="20"/>
                <w:szCs w:val="20"/>
                <w:lang w:val="en-GB"/>
              </w:rPr>
              <w:t>LULUCF</w:t>
            </w:r>
          </w:p>
        </w:tc>
        <w:tc>
          <w:tcPr>
            <w:tcW w:w="2395" w:type="dxa"/>
          </w:tcPr>
          <w:p w:rsidR="00EA12A1" w:rsidRPr="006314C9" w:rsidRDefault="00EA12A1" w:rsidP="007B0BC7">
            <w:pPr>
              <w:spacing w:before="60" w:after="60"/>
              <w:contextualSpacing/>
              <w:rPr>
                <w:rFonts w:cs="Times New Roman"/>
                <w:sz w:val="20"/>
                <w:szCs w:val="20"/>
                <w:lang w:val="en-GB"/>
              </w:rPr>
            </w:pPr>
            <w:r w:rsidRPr="006314C9">
              <w:rPr>
                <w:rFonts w:cs="Times New Roman"/>
                <w:sz w:val="20"/>
                <w:szCs w:val="20"/>
                <w:lang w:val="en-GB"/>
              </w:rPr>
              <w:t>Not determined yet</w:t>
            </w:r>
          </w:p>
        </w:tc>
        <w:tc>
          <w:tcPr>
            <w:tcW w:w="2393" w:type="dxa"/>
          </w:tcPr>
          <w:p w:rsidR="00EA12A1" w:rsidRPr="006314C9" w:rsidRDefault="00EA12A1" w:rsidP="00EA12A1">
            <w:pPr>
              <w:spacing w:before="60" w:after="60"/>
              <w:contextualSpacing/>
              <w:rPr>
                <w:rFonts w:cs="Times New Roman"/>
                <w:sz w:val="20"/>
                <w:szCs w:val="20"/>
                <w:lang w:val="en-GB"/>
              </w:rPr>
            </w:pPr>
            <w:r w:rsidRPr="006314C9">
              <w:rPr>
                <w:rFonts w:cs="Times New Roman"/>
                <w:sz w:val="20"/>
                <w:szCs w:val="20"/>
                <w:lang w:val="en-GB"/>
              </w:rPr>
              <w:t>Not transposed;</w:t>
            </w:r>
          </w:p>
          <w:p w:rsidR="00EA12A1" w:rsidRPr="006314C9" w:rsidRDefault="00EA12A1" w:rsidP="00EA12A1">
            <w:pPr>
              <w:spacing w:before="60" w:after="60"/>
              <w:contextualSpacing/>
              <w:rPr>
                <w:rFonts w:cs="Times New Roman"/>
                <w:sz w:val="20"/>
                <w:szCs w:val="20"/>
                <w:lang w:val="en-GB"/>
              </w:rPr>
            </w:pPr>
          </w:p>
        </w:tc>
        <w:tc>
          <w:tcPr>
            <w:tcW w:w="2395" w:type="dxa"/>
          </w:tcPr>
          <w:p w:rsidR="00EA12A1" w:rsidRPr="006314C9" w:rsidRDefault="00EA12A1">
            <w:pPr>
              <w:spacing w:before="60" w:after="60"/>
              <w:contextualSpacing/>
              <w:rPr>
                <w:rFonts w:eastAsia="Times New Roman" w:cs="Times New Roman"/>
                <w:color w:val="000000"/>
                <w:sz w:val="20"/>
                <w:szCs w:val="20"/>
                <w:lang w:val="en-GB"/>
              </w:rPr>
            </w:pPr>
            <w:r w:rsidRPr="006314C9">
              <w:rPr>
                <w:rFonts w:eastAsia="Times New Roman" w:cs="Times New Roman"/>
                <w:color w:val="000000"/>
                <w:sz w:val="20"/>
                <w:szCs w:val="20"/>
                <w:lang w:val="en-GB"/>
              </w:rPr>
              <w:t>Not implemented</w:t>
            </w:r>
          </w:p>
        </w:tc>
      </w:tr>
    </w:tbl>
    <w:p w:rsidR="0056714A" w:rsidRPr="006314C9" w:rsidRDefault="0056714A" w:rsidP="00152F5E">
      <w:pPr>
        <w:rPr>
          <w:rFonts w:cs="Times New Roman"/>
          <w:lang w:val="en-GB"/>
        </w:rPr>
      </w:pPr>
    </w:p>
    <w:sectPr w:rsidR="0056714A" w:rsidRPr="006314C9" w:rsidSect="003D5F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80" w:rsidRDefault="00B84180" w:rsidP="00521A8F">
      <w:pPr>
        <w:spacing w:before="0" w:after="0"/>
      </w:pPr>
      <w:r>
        <w:separator/>
      </w:r>
    </w:p>
  </w:endnote>
  <w:endnote w:type="continuationSeparator" w:id="0">
    <w:p w:rsidR="00B84180" w:rsidRDefault="00B84180" w:rsidP="00521A8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12154602"/>
      <w:docPartObj>
        <w:docPartGallery w:val="Page Numbers (Bottom of Page)"/>
        <w:docPartUnique/>
      </w:docPartObj>
    </w:sdtPr>
    <w:sdtContent>
      <w:p w:rsidR="00AD026E" w:rsidRDefault="00502274" w:rsidP="00DA7259">
        <w:pPr>
          <w:pStyle w:val="Footer"/>
          <w:framePr w:wrap="none" w:vAnchor="text" w:hAnchor="margin" w:xAlign="right" w:y="1"/>
          <w:rPr>
            <w:rStyle w:val="PageNumber"/>
          </w:rPr>
        </w:pPr>
        <w:r>
          <w:rPr>
            <w:rStyle w:val="PageNumber"/>
          </w:rPr>
          <w:fldChar w:fldCharType="begin"/>
        </w:r>
        <w:r w:rsidR="00AD026E">
          <w:rPr>
            <w:rStyle w:val="PageNumber"/>
          </w:rPr>
          <w:instrText xml:space="preserve"> PAGE </w:instrText>
        </w:r>
        <w:r>
          <w:rPr>
            <w:rStyle w:val="PageNumber"/>
          </w:rPr>
          <w:fldChar w:fldCharType="end"/>
        </w:r>
      </w:p>
    </w:sdtContent>
  </w:sdt>
  <w:p w:rsidR="00AD026E" w:rsidRDefault="00AD026E" w:rsidP="008F5A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6E" w:rsidRDefault="00AD026E" w:rsidP="00F576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80" w:rsidRDefault="00B84180" w:rsidP="00521A8F">
      <w:pPr>
        <w:spacing w:before="0" w:after="0"/>
      </w:pPr>
      <w:r>
        <w:separator/>
      </w:r>
    </w:p>
  </w:footnote>
  <w:footnote w:type="continuationSeparator" w:id="0">
    <w:p w:rsidR="00B84180" w:rsidRDefault="00B84180" w:rsidP="00521A8F">
      <w:pPr>
        <w:spacing w:before="0" w:after="0"/>
      </w:pPr>
      <w:r>
        <w:continuationSeparator/>
      </w:r>
    </w:p>
  </w:footnote>
  <w:footnote w:id="1">
    <w:p w:rsidR="00AD026E" w:rsidRDefault="00AD026E">
      <w:pPr>
        <w:pStyle w:val="FootnoteText"/>
        <w:spacing w:line="240" w:lineRule="auto"/>
        <w:rPr>
          <w:rFonts w:ascii="Times New Roman" w:hAnsi="Times New Roman" w:cs="Times New Roman"/>
          <w:sz w:val="18"/>
          <w:szCs w:val="18"/>
          <w:lang w:val="en-GB"/>
        </w:rPr>
      </w:pPr>
      <w:r w:rsidRPr="002F0A16">
        <w:rPr>
          <w:rStyle w:val="FootnoteReference"/>
          <w:rFonts w:ascii="Times New Roman" w:hAnsi="Times New Roman" w:cs="Times New Roman"/>
          <w:sz w:val="18"/>
          <w:szCs w:val="18"/>
        </w:rPr>
        <w:footnoteRef/>
      </w:r>
      <w:r>
        <w:rPr>
          <w:rFonts w:ascii="Times New Roman" w:hAnsi="Times New Roman" w:cs="Times New Roman"/>
          <w:sz w:val="18"/>
          <w:szCs w:val="18"/>
          <w:lang w:val="en-GB"/>
        </w:rPr>
        <w:t>E</w:t>
      </w:r>
      <w:r w:rsidRPr="002F0A16">
        <w:rPr>
          <w:rFonts w:ascii="Times New Roman" w:hAnsi="Times New Roman" w:cs="Times New Roman"/>
          <w:sz w:val="18"/>
          <w:szCs w:val="18"/>
          <w:lang w:val="en-GB"/>
        </w:rPr>
        <w:t xml:space="preserve">ach </w:t>
      </w:r>
      <w:r>
        <w:rPr>
          <w:rFonts w:ascii="Times New Roman" w:hAnsi="Times New Roman" w:cs="Times New Roman"/>
          <w:sz w:val="18"/>
          <w:szCs w:val="18"/>
          <w:lang w:val="en-GB"/>
        </w:rPr>
        <w:t xml:space="preserve">transposed </w:t>
      </w:r>
      <w:r w:rsidRPr="002F0A16">
        <w:rPr>
          <w:rFonts w:ascii="Times New Roman" w:hAnsi="Times New Roman" w:cs="Times New Roman"/>
          <w:sz w:val="18"/>
          <w:szCs w:val="18"/>
          <w:lang w:val="en-GB"/>
        </w:rPr>
        <w:t xml:space="preserve">article </w:t>
      </w:r>
      <w:r>
        <w:rPr>
          <w:rFonts w:ascii="Times New Roman" w:hAnsi="Times New Roman" w:cs="Times New Roman"/>
          <w:sz w:val="18"/>
          <w:szCs w:val="18"/>
          <w:lang w:val="en-GB"/>
        </w:rPr>
        <w:t xml:space="preserve">receives </w:t>
      </w:r>
      <w:r w:rsidRPr="002F0A16">
        <w:rPr>
          <w:rFonts w:ascii="Times New Roman" w:hAnsi="Times New Roman" w:cs="Times New Roman"/>
          <w:sz w:val="18"/>
          <w:szCs w:val="18"/>
          <w:lang w:val="en-GB"/>
        </w:rPr>
        <w:t xml:space="preserve">5 points. When transposed less than 70 % of articles </w:t>
      </w:r>
      <w:r>
        <w:rPr>
          <w:rFonts w:ascii="Times New Roman" w:hAnsi="Times New Roman" w:cs="Times New Roman"/>
          <w:sz w:val="18"/>
          <w:szCs w:val="18"/>
          <w:lang w:val="en-GB"/>
        </w:rPr>
        <w:t>–it is considered as p</w:t>
      </w:r>
      <w:r w:rsidRPr="002F0A16">
        <w:rPr>
          <w:rFonts w:ascii="Times New Roman" w:hAnsi="Times New Roman" w:cs="Times New Roman"/>
          <w:sz w:val="18"/>
          <w:szCs w:val="18"/>
          <w:lang w:val="en-GB"/>
        </w:rPr>
        <w:t>artially</w:t>
      </w:r>
      <w:r>
        <w:rPr>
          <w:rFonts w:ascii="Times New Roman" w:hAnsi="Times New Roman" w:cs="Times New Roman"/>
          <w:sz w:val="18"/>
          <w:szCs w:val="18"/>
          <w:lang w:val="en-GB"/>
        </w:rPr>
        <w:t xml:space="preserve"> transposed</w:t>
      </w:r>
      <w:r w:rsidRPr="002F0A16">
        <w:rPr>
          <w:rFonts w:ascii="Times New Roman" w:hAnsi="Times New Roman" w:cs="Times New Roman"/>
          <w:sz w:val="18"/>
          <w:szCs w:val="18"/>
          <w:lang w:val="en-GB"/>
        </w:rPr>
        <w:t>, when less than 20 % - </w:t>
      </w:r>
      <w:r>
        <w:rPr>
          <w:rFonts w:ascii="Times New Roman" w:hAnsi="Times New Roman" w:cs="Times New Roman"/>
          <w:sz w:val="18"/>
          <w:szCs w:val="18"/>
          <w:lang w:val="en-GB"/>
        </w:rPr>
        <w:t>i</w:t>
      </w:r>
      <w:r w:rsidRPr="002F0A16">
        <w:rPr>
          <w:rFonts w:ascii="Times New Roman" w:hAnsi="Times New Roman" w:cs="Times New Roman"/>
          <w:sz w:val="18"/>
          <w:szCs w:val="18"/>
          <w:lang w:val="en-GB"/>
        </w:rPr>
        <w:t xml:space="preserve">nitial stage and less than 10 % - </w:t>
      </w:r>
      <w:r>
        <w:rPr>
          <w:rFonts w:ascii="Times New Roman" w:hAnsi="Times New Roman" w:cs="Times New Roman"/>
          <w:sz w:val="18"/>
          <w:szCs w:val="18"/>
          <w:lang w:val="en-GB"/>
        </w:rPr>
        <w:t>n</w:t>
      </w:r>
      <w:r w:rsidRPr="002F0A16">
        <w:rPr>
          <w:rFonts w:ascii="Times New Roman" w:hAnsi="Times New Roman" w:cs="Times New Roman"/>
          <w:sz w:val="18"/>
          <w:szCs w:val="18"/>
          <w:lang w:val="en-GB"/>
        </w:rPr>
        <w:t xml:space="preserve">ot transposed. If more than 70 % - </w:t>
      </w:r>
      <w:r>
        <w:rPr>
          <w:rFonts w:ascii="Times New Roman" w:hAnsi="Times New Roman" w:cs="Times New Roman"/>
          <w:sz w:val="18"/>
          <w:szCs w:val="18"/>
          <w:lang w:val="en-GB"/>
        </w:rPr>
        <w:t>a</w:t>
      </w:r>
      <w:r w:rsidRPr="002F0A16">
        <w:rPr>
          <w:rFonts w:ascii="Times New Roman" w:hAnsi="Times New Roman" w:cs="Times New Roman"/>
          <w:sz w:val="18"/>
          <w:szCs w:val="18"/>
          <w:lang w:val="en-GB"/>
        </w:rPr>
        <w:t>dvanced</w:t>
      </w:r>
      <w:r>
        <w:rPr>
          <w:rFonts w:ascii="Times New Roman" w:hAnsi="Times New Roman" w:cs="Times New Roman"/>
          <w:sz w:val="18"/>
          <w:szCs w:val="18"/>
          <w:lang w:val="en-GB"/>
        </w:rPr>
        <w:t xml:space="preserve"> stage. </w:t>
      </w:r>
      <w:proofErr w:type="gramStart"/>
      <w:r w:rsidRPr="002F0A16">
        <w:rPr>
          <w:rFonts w:ascii="Times New Roman" w:hAnsi="Times New Roman" w:cs="Times New Roman"/>
          <w:sz w:val="18"/>
          <w:szCs w:val="18"/>
          <w:lang w:val="en-GB"/>
        </w:rPr>
        <w:t xml:space="preserve">If all articles are transposed </w:t>
      </w:r>
      <w:r>
        <w:rPr>
          <w:rFonts w:ascii="Times New Roman" w:hAnsi="Times New Roman" w:cs="Times New Roman"/>
          <w:sz w:val="18"/>
          <w:szCs w:val="18"/>
          <w:lang w:val="en-GB"/>
        </w:rPr>
        <w:t>- f</w:t>
      </w:r>
      <w:r w:rsidRPr="002F0A16">
        <w:rPr>
          <w:rFonts w:ascii="Times New Roman" w:hAnsi="Times New Roman" w:cs="Times New Roman"/>
          <w:sz w:val="18"/>
          <w:szCs w:val="18"/>
          <w:lang w:val="en-GB"/>
        </w:rPr>
        <w:t>ully transposed</w:t>
      </w:r>
      <w:r>
        <w:rPr>
          <w:rFonts w:ascii="Times New Roman" w:hAnsi="Times New Roman" w:cs="Times New Roman"/>
          <w:sz w:val="18"/>
          <w:szCs w:val="18"/>
          <w:lang w:val="en-GB"/>
        </w:rPr>
        <w:t>.</w:t>
      </w:r>
      <w:proofErr w:type="gramEnd"/>
    </w:p>
  </w:footnote>
  <w:footnote w:id="2">
    <w:p w:rsidR="00AD026E" w:rsidRPr="00894462" w:rsidRDefault="00AD026E" w:rsidP="008E39DA">
      <w:pPr>
        <w:spacing w:before="60" w:after="60"/>
        <w:contextualSpacing/>
        <w:rPr>
          <w:sz w:val="18"/>
          <w:szCs w:val="18"/>
          <w:lang w:val="en-GB"/>
        </w:rPr>
      </w:pPr>
      <w:r w:rsidRPr="002F0A16">
        <w:rPr>
          <w:rStyle w:val="FootnoteReference"/>
          <w:sz w:val="18"/>
          <w:szCs w:val="18"/>
        </w:rPr>
        <w:footnoteRef/>
      </w:r>
      <w:r w:rsidRPr="002F0A16">
        <w:rPr>
          <w:sz w:val="18"/>
          <w:szCs w:val="18"/>
          <w:lang w:val="en-GB"/>
        </w:rPr>
        <w:t xml:space="preserve">National </w:t>
      </w:r>
      <w:r w:rsidRPr="002F0A16">
        <w:rPr>
          <w:rFonts w:cs="Times New Roman"/>
          <w:sz w:val="18"/>
          <w:szCs w:val="18"/>
          <w:lang w:val="en-GB"/>
        </w:rPr>
        <w:t xml:space="preserve">Environmental Agency (NEA) and Inspectorate of Environment Forest Water and Tourism (SIEFWT) are involved into implementation and enforcement of each directive and regulation and not repeated in the table. </w:t>
      </w:r>
    </w:p>
  </w:footnote>
  <w:footnote w:id="3">
    <w:p w:rsidR="00AD026E" w:rsidRPr="00894462" w:rsidRDefault="00AD026E" w:rsidP="00BE162B">
      <w:pPr>
        <w:rPr>
          <w:rFonts w:cs="Times New Roman"/>
          <w:color w:val="1D1D1D"/>
          <w:sz w:val="18"/>
          <w:szCs w:val="18"/>
        </w:rPr>
      </w:pPr>
      <w:r w:rsidRPr="002F0A16">
        <w:rPr>
          <w:rStyle w:val="FootnoteReference"/>
          <w:rFonts w:cs="Times New Roman"/>
          <w:sz w:val="18"/>
          <w:szCs w:val="18"/>
        </w:rPr>
        <w:footnoteRef/>
      </w:r>
      <w:r w:rsidRPr="002F0A16">
        <w:rPr>
          <w:rFonts w:cs="Times New Roman"/>
          <w:color w:val="1D1D1D"/>
          <w:sz w:val="18"/>
          <w:szCs w:val="18"/>
        </w:rPr>
        <w:t xml:space="preserve">DCM no. 127, dated 11.2.2015 “On the requirements to use the wastewater sludge in agriculture” </w:t>
      </w:r>
    </w:p>
    <w:p w:rsidR="00AD026E" w:rsidRDefault="00AD026E" w:rsidP="00BE162B">
      <w:pPr>
        <w:pStyle w:val="FootnoteText"/>
      </w:pPr>
    </w:p>
  </w:footnote>
  <w:footnote w:id="4">
    <w:p w:rsidR="00AD026E" w:rsidRPr="00C82FCE" w:rsidRDefault="00AD026E" w:rsidP="00BE162B">
      <w:pPr>
        <w:pStyle w:val="FootnoteText"/>
        <w:spacing w:line="240" w:lineRule="auto"/>
      </w:pPr>
      <w:r w:rsidRPr="00C82FCE">
        <w:rPr>
          <w:rStyle w:val="FootnoteReference"/>
        </w:rPr>
        <w:footnoteRef/>
      </w:r>
      <w:r w:rsidRPr="00152F5E">
        <w:rPr>
          <w:sz w:val="16"/>
          <w:szCs w:val="16"/>
        </w:rPr>
        <w:t>DCM no. 221, date 26.4.2018 “On the Organization and Functioning of the Water Resources Management Agency”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AD026E" w:rsidRDefault="00AD026E">
        <w:pPr>
          <w:pStyle w:val="Header"/>
        </w:pPr>
        <w:r>
          <w:t>[Type here]</w:t>
        </w:r>
      </w:p>
    </w:sdtContent>
  </w:sdt>
  <w:p w:rsidR="00AD026E" w:rsidRDefault="00AD02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1B07D58"/>
    <w:multiLevelType w:val="hybridMultilevel"/>
    <w:tmpl w:val="CF6A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733CF"/>
    <w:multiLevelType w:val="hybridMultilevel"/>
    <w:tmpl w:val="56045B82"/>
    <w:lvl w:ilvl="0" w:tplc="4CE0BF32">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097C03E0"/>
    <w:multiLevelType w:val="hybridMultilevel"/>
    <w:tmpl w:val="CE3415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B3745"/>
    <w:multiLevelType w:val="multilevel"/>
    <w:tmpl w:val="93802BA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74C43"/>
    <w:multiLevelType w:val="hybridMultilevel"/>
    <w:tmpl w:val="755A9936"/>
    <w:lvl w:ilvl="0" w:tplc="8428665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B0A4D"/>
    <w:multiLevelType w:val="hybridMultilevel"/>
    <w:tmpl w:val="3FD8A9CE"/>
    <w:lvl w:ilvl="0" w:tplc="03A87C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C314F"/>
    <w:multiLevelType w:val="hybridMultilevel"/>
    <w:tmpl w:val="765C08BE"/>
    <w:lvl w:ilvl="0" w:tplc="D3783C5E">
      <w:start w:val="1"/>
      <w:numFmt w:val="bullet"/>
      <w:lvlText w:val=""/>
      <w:lvlJc w:val="left"/>
      <w:pPr>
        <w:tabs>
          <w:tab w:val="num" w:pos="720"/>
        </w:tabs>
        <w:ind w:left="720" w:hanging="360"/>
      </w:pPr>
      <w:rPr>
        <w:rFonts w:ascii="Wingdings" w:hAnsi="Wingdings" w:hint="default"/>
      </w:rPr>
    </w:lvl>
    <w:lvl w:ilvl="1" w:tplc="4AB6BC88">
      <w:numFmt w:val="none"/>
      <w:lvlText w:val=""/>
      <w:lvlJc w:val="left"/>
      <w:pPr>
        <w:tabs>
          <w:tab w:val="num" w:pos="360"/>
        </w:tabs>
      </w:pPr>
    </w:lvl>
    <w:lvl w:ilvl="2" w:tplc="2982C242" w:tentative="1">
      <w:start w:val="1"/>
      <w:numFmt w:val="bullet"/>
      <w:lvlText w:val=""/>
      <w:lvlJc w:val="left"/>
      <w:pPr>
        <w:tabs>
          <w:tab w:val="num" w:pos="2160"/>
        </w:tabs>
        <w:ind w:left="2160" w:hanging="360"/>
      </w:pPr>
      <w:rPr>
        <w:rFonts w:ascii="Wingdings" w:hAnsi="Wingdings" w:hint="default"/>
      </w:rPr>
    </w:lvl>
    <w:lvl w:ilvl="3" w:tplc="E70C383C" w:tentative="1">
      <w:start w:val="1"/>
      <w:numFmt w:val="bullet"/>
      <w:lvlText w:val=""/>
      <w:lvlJc w:val="left"/>
      <w:pPr>
        <w:tabs>
          <w:tab w:val="num" w:pos="2880"/>
        </w:tabs>
        <w:ind w:left="2880" w:hanging="360"/>
      </w:pPr>
      <w:rPr>
        <w:rFonts w:ascii="Wingdings" w:hAnsi="Wingdings" w:hint="default"/>
      </w:rPr>
    </w:lvl>
    <w:lvl w:ilvl="4" w:tplc="D77EB254" w:tentative="1">
      <w:start w:val="1"/>
      <w:numFmt w:val="bullet"/>
      <w:lvlText w:val=""/>
      <w:lvlJc w:val="left"/>
      <w:pPr>
        <w:tabs>
          <w:tab w:val="num" w:pos="3600"/>
        </w:tabs>
        <w:ind w:left="3600" w:hanging="360"/>
      </w:pPr>
      <w:rPr>
        <w:rFonts w:ascii="Wingdings" w:hAnsi="Wingdings" w:hint="default"/>
      </w:rPr>
    </w:lvl>
    <w:lvl w:ilvl="5" w:tplc="B14E6F46" w:tentative="1">
      <w:start w:val="1"/>
      <w:numFmt w:val="bullet"/>
      <w:lvlText w:val=""/>
      <w:lvlJc w:val="left"/>
      <w:pPr>
        <w:tabs>
          <w:tab w:val="num" w:pos="4320"/>
        </w:tabs>
        <w:ind w:left="4320" w:hanging="360"/>
      </w:pPr>
      <w:rPr>
        <w:rFonts w:ascii="Wingdings" w:hAnsi="Wingdings" w:hint="default"/>
      </w:rPr>
    </w:lvl>
    <w:lvl w:ilvl="6" w:tplc="5A26BD18" w:tentative="1">
      <w:start w:val="1"/>
      <w:numFmt w:val="bullet"/>
      <w:lvlText w:val=""/>
      <w:lvlJc w:val="left"/>
      <w:pPr>
        <w:tabs>
          <w:tab w:val="num" w:pos="5040"/>
        </w:tabs>
        <w:ind w:left="5040" w:hanging="360"/>
      </w:pPr>
      <w:rPr>
        <w:rFonts w:ascii="Wingdings" w:hAnsi="Wingdings" w:hint="default"/>
      </w:rPr>
    </w:lvl>
    <w:lvl w:ilvl="7" w:tplc="B0D8E9FE" w:tentative="1">
      <w:start w:val="1"/>
      <w:numFmt w:val="bullet"/>
      <w:lvlText w:val=""/>
      <w:lvlJc w:val="left"/>
      <w:pPr>
        <w:tabs>
          <w:tab w:val="num" w:pos="5760"/>
        </w:tabs>
        <w:ind w:left="5760" w:hanging="360"/>
      </w:pPr>
      <w:rPr>
        <w:rFonts w:ascii="Wingdings" w:hAnsi="Wingdings" w:hint="default"/>
      </w:rPr>
    </w:lvl>
    <w:lvl w:ilvl="8" w:tplc="4E72F8D0" w:tentative="1">
      <w:start w:val="1"/>
      <w:numFmt w:val="bullet"/>
      <w:lvlText w:val=""/>
      <w:lvlJc w:val="left"/>
      <w:pPr>
        <w:tabs>
          <w:tab w:val="num" w:pos="6480"/>
        </w:tabs>
        <w:ind w:left="6480" w:hanging="360"/>
      </w:pPr>
      <w:rPr>
        <w:rFonts w:ascii="Wingdings" w:hAnsi="Wingdings" w:hint="default"/>
      </w:rPr>
    </w:lvl>
  </w:abstractNum>
  <w:abstractNum w:abstractNumId="10">
    <w:nsid w:val="238D1429"/>
    <w:multiLevelType w:val="hybridMultilevel"/>
    <w:tmpl w:val="F5648CCA"/>
    <w:lvl w:ilvl="0" w:tplc="286AC13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C5E53"/>
    <w:multiLevelType w:val="hybridMultilevel"/>
    <w:tmpl w:val="CFC6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52CFA"/>
    <w:multiLevelType w:val="hybridMultilevel"/>
    <w:tmpl w:val="4FD89B3C"/>
    <w:lvl w:ilvl="0" w:tplc="3FAADB5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C00A9"/>
    <w:multiLevelType w:val="hybridMultilevel"/>
    <w:tmpl w:val="F6BE7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1710A"/>
    <w:multiLevelType w:val="hybridMultilevel"/>
    <w:tmpl w:val="A32E8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91439F"/>
    <w:multiLevelType w:val="multilevel"/>
    <w:tmpl w:val="E52677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7557092"/>
    <w:multiLevelType w:val="hybridMultilevel"/>
    <w:tmpl w:val="40A2F230"/>
    <w:lvl w:ilvl="0" w:tplc="45BCAB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F096B"/>
    <w:multiLevelType w:val="hybridMultilevel"/>
    <w:tmpl w:val="12CE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F5192"/>
    <w:multiLevelType w:val="multilevel"/>
    <w:tmpl w:val="93802BA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1207C0"/>
    <w:multiLevelType w:val="hybridMultilevel"/>
    <w:tmpl w:val="DECE31F8"/>
    <w:lvl w:ilvl="0" w:tplc="70ACEFF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7241F5"/>
    <w:multiLevelType w:val="hybridMultilevel"/>
    <w:tmpl w:val="16F2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8B0DA5"/>
    <w:multiLevelType w:val="hybridMultilevel"/>
    <w:tmpl w:val="6B7E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FA04F3"/>
    <w:multiLevelType w:val="hybridMultilevel"/>
    <w:tmpl w:val="3CEC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E04B4"/>
    <w:multiLevelType w:val="hybridMultilevel"/>
    <w:tmpl w:val="2CA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3012F8"/>
    <w:multiLevelType w:val="hybridMultilevel"/>
    <w:tmpl w:val="3D52E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3B3A11"/>
    <w:multiLevelType w:val="hybridMultilevel"/>
    <w:tmpl w:val="D77E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F0DB2"/>
    <w:multiLevelType w:val="hybridMultilevel"/>
    <w:tmpl w:val="34C6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330EFD"/>
    <w:multiLevelType w:val="hybridMultilevel"/>
    <w:tmpl w:val="3120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F18BE"/>
    <w:multiLevelType w:val="hybridMultilevel"/>
    <w:tmpl w:val="E4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423002"/>
    <w:multiLevelType w:val="multilevel"/>
    <w:tmpl w:val="93802BA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12"/>
  </w:num>
  <w:num w:numId="4">
    <w:abstractNumId w:val="7"/>
  </w:num>
  <w:num w:numId="5">
    <w:abstractNumId w:val="13"/>
  </w:num>
  <w:num w:numId="6">
    <w:abstractNumId w:val="14"/>
  </w:num>
  <w:num w:numId="7">
    <w:abstractNumId w:val="20"/>
  </w:num>
  <w:num w:numId="8">
    <w:abstractNumId w:val="9"/>
  </w:num>
  <w:num w:numId="9">
    <w:abstractNumId w:val="22"/>
  </w:num>
  <w:num w:numId="10">
    <w:abstractNumId w:val="8"/>
  </w:num>
  <w:num w:numId="11">
    <w:abstractNumId w:val="23"/>
  </w:num>
  <w:num w:numId="12">
    <w:abstractNumId w:val="15"/>
  </w:num>
  <w:num w:numId="13">
    <w:abstractNumId w:val="12"/>
    <w:lvlOverride w:ilvl="0">
      <w:startOverride w:val="1"/>
    </w:lvlOverride>
  </w:num>
  <w:num w:numId="14">
    <w:abstractNumId w:val="12"/>
    <w:lvlOverride w:ilvl="0">
      <w:startOverride w:val="1"/>
    </w:lvlOverride>
  </w:num>
  <w:num w:numId="15">
    <w:abstractNumId w:val="16"/>
  </w:num>
  <w:num w:numId="16">
    <w:abstractNumId w:val="29"/>
  </w:num>
  <w:num w:numId="17">
    <w:abstractNumId w:val="6"/>
  </w:num>
  <w:num w:numId="18">
    <w:abstractNumId w:val="18"/>
  </w:num>
  <w:num w:numId="19">
    <w:abstractNumId w:val="0"/>
  </w:num>
  <w:num w:numId="20">
    <w:abstractNumId w:val="1"/>
  </w:num>
  <w:num w:numId="21">
    <w:abstractNumId w:val="2"/>
  </w:num>
  <w:num w:numId="22">
    <w:abstractNumId w:val="27"/>
  </w:num>
  <w:num w:numId="23">
    <w:abstractNumId w:val="5"/>
  </w:num>
  <w:num w:numId="24">
    <w:abstractNumId w:val="28"/>
  </w:num>
  <w:num w:numId="25">
    <w:abstractNumId w:val="10"/>
  </w:num>
  <w:num w:numId="26">
    <w:abstractNumId w:val="19"/>
  </w:num>
  <w:num w:numId="27">
    <w:abstractNumId w:val="24"/>
  </w:num>
  <w:num w:numId="28">
    <w:abstractNumId w:val="4"/>
  </w:num>
  <w:num w:numId="29">
    <w:abstractNumId w:val="26"/>
  </w:num>
  <w:num w:numId="30">
    <w:abstractNumId w:val="3"/>
  </w:num>
  <w:num w:numId="31">
    <w:abstractNumId w:val="2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521A8F"/>
    <w:rsid w:val="00010E06"/>
    <w:rsid w:val="00012113"/>
    <w:rsid w:val="00017665"/>
    <w:rsid w:val="00021BF9"/>
    <w:rsid w:val="000256A7"/>
    <w:rsid w:val="000340FB"/>
    <w:rsid w:val="0004030C"/>
    <w:rsid w:val="00053544"/>
    <w:rsid w:val="0005731C"/>
    <w:rsid w:val="00066F64"/>
    <w:rsid w:val="00070625"/>
    <w:rsid w:val="0008292C"/>
    <w:rsid w:val="00084526"/>
    <w:rsid w:val="00087E21"/>
    <w:rsid w:val="0009348A"/>
    <w:rsid w:val="00097CAF"/>
    <w:rsid w:val="00097DB8"/>
    <w:rsid w:val="000A076B"/>
    <w:rsid w:val="000A1D07"/>
    <w:rsid w:val="000A2664"/>
    <w:rsid w:val="000A6521"/>
    <w:rsid w:val="000B47D0"/>
    <w:rsid w:val="000B483E"/>
    <w:rsid w:val="000B711D"/>
    <w:rsid w:val="000B7747"/>
    <w:rsid w:val="000C1497"/>
    <w:rsid w:val="000C4540"/>
    <w:rsid w:val="000C4702"/>
    <w:rsid w:val="000C630E"/>
    <w:rsid w:val="000F2D66"/>
    <w:rsid w:val="00107483"/>
    <w:rsid w:val="00114DE5"/>
    <w:rsid w:val="00121BBC"/>
    <w:rsid w:val="00126623"/>
    <w:rsid w:val="0013230D"/>
    <w:rsid w:val="0014553F"/>
    <w:rsid w:val="00152F5E"/>
    <w:rsid w:val="0015326A"/>
    <w:rsid w:val="00157761"/>
    <w:rsid w:val="00157C65"/>
    <w:rsid w:val="0016156F"/>
    <w:rsid w:val="00163639"/>
    <w:rsid w:val="00174296"/>
    <w:rsid w:val="00177871"/>
    <w:rsid w:val="00185AEE"/>
    <w:rsid w:val="00191D03"/>
    <w:rsid w:val="00196A4C"/>
    <w:rsid w:val="001970BB"/>
    <w:rsid w:val="001970C3"/>
    <w:rsid w:val="001A06F6"/>
    <w:rsid w:val="001A4CD5"/>
    <w:rsid w:val="001B4719"/>
    <w:rsid w:val="001C5B0C"/>
    <w:rsid w:val="001D2C87"/>
    <w:rsid w:val="001D3247"/>
    <w:rsid w:val="001D6D5A"/>
    <w:rsid w:val="001D6E18"/>
    <w:rsid w:val="001E2025"/>
    <w:rsid w:val="001E4F8E"/>
    <w:rsid w:val="001E55BE"/>
    <w:rsid w:val="001F7915"/>
    <w:rsid w:val="002102E9"/>
    <w:rsid w:val="002143D5"/>
    <w:rsid w:val="0021640A"/>
    <w:rsid w:val="00216726"/>
    <w:rsid w:val="0022120F"/>
    <w:rsid w:val="00233880"/>
    <w:rsid w:val="00235CEF"/>
    <w:rsid w:val="0024489C"/>
    <w:rsid w:val="00262C9C"/>
    <w:rsid w:val="00266CEB"/>
    <w:rsid w:val="0026719C"/>
    <w:rsid w:val="00267810"/>
    <w:rsid w:val="002724D6"/>
    <w:rsid w:val="00275300"/>
    <w:rsid w:val="00275819"/>
    <w:rsid w:val="00281D01"/>
    <w:rsid w:val="00282916"/>
    <w:rsid w:val="002955BC"/>
    <w:rsid w:val="002A1388"/>
    <w:rsid w:val="002A7486"/>
    <w:rsid w:val="002B1F34"/>
    <w:rsid w:val="002B3060"/>
    <w:rsid w:val="002B3BF3"/>
    <w:rsid w:val="002C0B46"/>
    <w:rsid w:val="002D699D"/>
    <w:rsid w:val="002E1DA7"/>
    <w:rsid w:val="002E25C5"/>
    <w:rsid w:val="002E2A08"/>
    <w:rsid w:val="002E6883"/>
    <w:rsid w:val="002F0A16"/>
    <w:rsid w:val="002F4202"/>
    <w:rsid w:val="002F7705"/>
    <w:rsid w:val="00305EBE"/>
    <w:rsid w:val="00306AF8"/>
    <w:rsid w:val="00313F60"/>
    <w:rsid w:val="0032554F"/>
    <w:rsid w:val="00333416"/>
    <w:rsid w:val="00354BE5"/>
    <w:rsid w:val="00361537"/>
    <w:rsid w:val="00362049"/>
    <w:rsid w:val="003630ED"/>
    <w:rsid w:val="00363B6B"/>
    <w:rsid w:val="00366324"/>
    <w:rsid w:val="00371D77"/>
    <w:rsid w:val="0037509C"/>
    <w:rsid w:val="00377F54"/>
    <w:rsid w:val="003815D2"/>
    <w:rsid w:val="0038366E"/>
    <w:rsid w:val="00392D8B"/>
    <w:rsid w:val="003B18E2"/>
    <w:rsid w:val="003B42E5"/>
    <w:rsid w:val="003B49CA"/>
    <w:rsid w:val="003B667C"/>
    <w:rsid w:val="003B6A8B"/>
    <w:rsid w:val="003C642A"/>
    <w:rsid w:val="003D2E5F"/>
    <w:rsid w:val="003D5FFC"/>
    <w:rsid w:val="003D71B0"/>
    <w:rsid w:val="003E6F8D"/>
    <w:rsid w:val="003F336C"/>
    <w:rsid w:val="003F3B40"/>
    <w:rsid w:val="003F5D8C"/>
    <w:rsid w:val="00401C63"/>
    <w:rsid w:val="00404DAD"/>
    <w:rsid w:val="00405110"/>
    <w:rsid w:val="00413B09"/>
    <w:rsid w:val="00416063"/>
    <w:rsid w:val="00420028"/>
    <w:rsid w:val="00422F98"/>
    <w:rsid w:val="00423A39"/>
    <w:rsid w:val="00425740"/>
    <w:rsid w:val="00430D17"/>
    <w:rsid w:val="00432189"/>
    <w:rsid w:val="00433673"/>
    <w:rsid w:val="00443B6F"/>
    <w:rsid w:val="00445553"/>
    <w:rsid w:val="0044700D"/>
    <w:rsid w:val="004614FA"/>
    <w:rsid w:val="0046226B"/>
    <w:rsid w:val="0047052D"/>
    <w:rsid w:val="00477C0F"/>
    <w:rsid w:val="00481801"/>
    <w:rsid w:val="004832C5"/>
    <w:rsid w:val="00491BD4"/>
    <w:rsid w:val="004A1A82"/>
    <w:rsid w:val="004A3973"/>
    <w:rsid w:val="004B4CA4"/>
    <w:rsid w:val="004B7616"/>
    <w:rsid w:val="004C7C54"/>
    <w:rsid w:val="004D1DAF"/>
    <w:rsid w:val="004D3496"/>
    <w:rsid w:val="004D3AC9"/>
    <w:rsid w:val="004E346F"/>
    <w:rsid w:val="004F018E"/>
    <w:rsid w:val="004F15BF"/>
    <w:rsid w:val="004F7E83"/>
    <w:rsid w:val="00502274"/>
    <w:rsid w:val="00506853"/>
    <w:rsid w:val="0051251F"/>
    <w:rsid w:val="00521A8F"/>
    <w:rsid w:val="0052431A"/>
    <w:rsid w:val="00527C5D"/>
    <w:rsid w:val="00534F73"/>
    <w:rsid w:val="00535E8D"/>
    <w:rsid w:val="00537A4E"/>
    <w:rsid w:val="00561747"/>
    <w:rsid w:val="0056714A"/>
    <w:rsid w:val="005735E5"/>
    <w:rsid w:val="00574FF1"/>
    <w:rsid w:val="005753A8"/>
    <w:rsid w:val="0057557B"/>
    <w:rsid w:val="0058240F"/>
    <w:rsid w:val="005828FE"/>
    <w:rsid w:val="00583E49"/>
    <w:rsid w:val="00590337"/>
    <w:rsid w:val="00591635"/>
    <w:rsid w:val="005979BE"/>
    <w:rsid w:val="005A1AA8"/>
    <w:rsid w:val="005A2011"/>
    <w:rsid w:val="005B10C1"/>
    <w:rsid w:val="005B127D"/>
    <w:rsid w:val="005C17C9"/>
    <w:rsid w:val="005D12F2"/>
    <w:rsid w:val="005D1F3C"/>
    <w:rsid w:val="005D41BB"/>
    <w:rsid w:val="005D701C"/>
    <w:rsid w:val="005E1E25"/>
    <w:rsid w:val="005E34AA"/>
    <w:rsid w:val="005E4EE5"/>
    <w:rsid w:val="005E5B94"/>
    <w:rsid w:val="00601232"/>
    <w:rsid w:val="006070FE"/>
    <w:rsid w:val="006225B7"/>
    <w:rsid w:val="0062272B"/>
    <w:rsid w:val="006233A9"/>
    <w:rsid w:val="00626EF4"/>
    <w:rsid w:val="006314C9"/>
    <w:rsid w:val="006429AA"/>
    <w:rsid w:val="006446BE"/>
    <w:rsid w:val="0065032D"/>
    <w:rsid w:val="00653ED7"/>
    <w:rsid w:val="0065545A"/>
    <w:rsid w:val="00656343"/>
    <w:rsid w:val="00673031"/>
    <w:rsid w:val="00673DA1"/>
    <w:rsid w:val="006771CC"/>
    <w:rsid w:val="00691560"/>
    <w:rsid w:val="00694EE8"/>
    <w:rsid w:val="0069733F"/>
    <w:rsid w:val="006A3683"/>
    <w:rsid w:val="006B0F53"/>
    <w:rsid w:val="006B66F5"/>
    <w:rsid w:val="006D5BA2"/>
    <w:rsid w:val="006D6BDC"/>
    <w:rsid w:val="006E0C5B"/>
    <w:rsid w:val="006E348F"/>
    <w:rsid w:val="006E3522"/>
    <w:rsid w:val="006F48EB"/>
    <w:rsid w:val="006F5B92"/>
    <w:rsid w:val="007043A9"/>
    <w:rsid w:val="00713855"/>
    <w:rsid w:val="00713E18"/>
    <w:rsid w:val="007216FF"/>
    <w:rsid w:val="00730A2D"/>
    <w:rsid w:val="00731C5F"/>
    <w:rsid w:val="00737C52"/>
    <w:rsid w:val="007407EF"/>
    <w:rsid w:val="007431B9"/>
    <w:rsid w:val="007442D1"/>
    <w:rsid w:val="00745EFC"/>
    <w:rsid w:val="00750C45"/>
    <w:rsid w:val="00755DCF"/>
    <w:rsid w:val="00761E2D"/>
    <w:rsid w:val="007640EE"/>
    <w:rsid w:val="007667D5"/>
    <w:rsid w:val="0076735B"/>
    <w:rsid w:val="00773BF4"/>
    <w:rsid w:val="007832F3"/>
    <w:rsid w:val="0078444D"/>
    <w:rsid w:val="007A75C6"/>
    <w:rsid w:val="007B0BC7"/>
    <w:rsid w:val="007D1E99"/>
    <w:rsid w:val="007D2E53"/>
    <w:rsid w:val="007D7A4B"/>
    <w:rsid w:val="007E7522"/>
    <w:rsid w:val="007F36A1"/>
    <w:rsid w:val="007F502A"/>
    <w:rsid w:val="007F534D"/>
    <w:rsid w:val="00806914"/>
    <w:rsid w:val="00810EE1"/>
    <w:rsid w:val="0081567C"/>
    <w:rsid w:val="00815D28"/>
    <w:rsid w:val="00835F3D"/>
    <w:rsid w:val="0085040C"/>
    <w:rsid w:val="00850DC5"/>
    <w:rsid w:val="00854A5F"/>
    <w:rsid w:val="00854B81"/>
    <w:rsid w:val="00860584"/>
    <w:rsid w:val="008774DA"/>
    <w:rsid w:val="00877C7C"/>
    <w:rsid w:val="0088479E"/>
    <w:rsid w:val="00886B9C"/>
    <w:rsid w:val="00894462"/>
    <w:rsid w:val="008A22B7"/>
    <w:rsid w:val="008A5D40"/>
    <w:rsid w:val="008D0E4D"/>
    <w:rsid w:val="008D160B"/>
    <w:rsid w:val="008D410C"/>
    <w:rsid w:val="008D6296"/>
    <w:rsid w:val="008E39DA"/>
    <w:rsid w:val="008F1AFE"/>
    <w:rsid w:val="008F447A"/>
    <w:rsid w:val="008F5A33"/>
    <w:rsid w:val="00907ADD"/>
    <w:rsid w:val="00910BE7"/>
    <w:rsid w:val="0092051E"/>
    <w:rsid w:val="00926B81"/>
    <w:rsid w:val="00930D05"/>
    <w:rsid w:val="00935692"/>
    <w:rsid w:val="00942E45"/>
    <w:rsid w:val="00950AF7"/>
    <w:rsid w:val="00953D59"/>
    <w:rsid w:val="00954EAF"/>
    <w:rsid w:val="00956C2B"/>
    <w:rsid w:val="00964735"/>
    <w:rsid w:val="00965EC3"/>
    <w:rsid w:val="009672F4"/>
    <w:rsid w:val="00973554"/>
    <w:rsid w:val="00980E17"/>
    <w:rsid w:val="009850A5"/>
    <w:rsid w:val="00985992"/>
    <w:rsid w:val="009908B8"/>
    <w:rsid w:val="00994640"/>
    <w:rsid w:val="009B15CD"/>
    <w:rsid w:val="009C7BD8"/>
    <w:rsid w:val="009F12E0"/>
    <w:rsid w:val="009F2751"/>
    <w:rsid w:val="009F33D1"/>
    <w:rsid w:val="009F3D42"/>
    <w:rsid w:val="00A012BB"/>
    <w:rsid w:val="00A04B3E"/>
    <w:rsid w:val="00A15286"/>
    <w:rsid w:val="00A16638"/>
    <w:rsid w:val="00A234D8"/>
    <w:rsid w:val="00A32491"/>
    <w:rsid w:val="00A33923"/>
    <w:rsid w:val="00A4331E"/>
    <w:rsid w:val="00A465EC"/>
    <w:rsid w:val="00A81F8F"/>
    <w:rsid w:val="00A83275"/>
    <w:rsid w:val="00A83334"/>
    <w:rsid w:val="00A8698C"/>
    <w:rsid w:val="00A9217D"/>
    <w:rsid w:val="00A92B0C"/>
    <w:rsid w:val="00A974C7"/>
    <w:rsid w:val="00AA2BDA"/>
    <w:rsid w:val="00AC6491"/>
    <w:rsid w:val="00AD026E"/>
    <w:rsid w:val="00AF387A"/>
    <w:rsid w:val="00AF56D7"/>
    <w:rsid w:val="00B03C48"/>
    <w:rsid w:val="00B0596D"/>
    <w:rsid w:val="00B164FC"/>
    <w:rsid w:val="00B27A3A"/>
    <w:rsid w:val="00B27FEA"/>
    <w:rsid w:val="00B31BE6"/>
    <w:rsid w:val="00B32331"/>
    <w:rsid w:val="00B33D3F"/>
    <w:rsid w:val="00B417E3"/>
    <w:rsid w:val="00B449B4"/>
    <w:rsid w:val="00B5124E"/>
    <w:rsid w:val="00B544A1"/>
    <w:rsid w:val="00B5756D"/>
    <w:rsid w:val="00B61E8B"/>
    <w:rsid w:val="00B64408"/>
    <w:rsid w:val="00B67C52"/>
    <w:rsid w:val="00B718BB"/>
    <w:rsid w:val="00B80C96"/>
    <w:rsid w:val="00B81736"/>
    <w:rsid w:val="00B84180"/>
    <w:rsid w:val="00B95B76"/>
    <w:rsid w:val="00B95D6A"/>
    <w:rsid w:val="00B963DC"/>
    <w:rsid w:val="00BA2248"/>
    <w:rsid w:val="00BA4A24"/>
    <w:rsid w:val="00BB1720"/>
    <w:rsid w:val="00BB50E1"/>
    <w:rsid w:val="00BB56CF"/>
    <w:rsid w:val="00BB7A4F"/>
    <w:rsid w:val="00BC2C10"/>
    <w:rsid w:val="00BC69C8"/>
    <w:rsid w:val="00BD57CA"/>
    <w:rsid w:val="00BE162B"/>
    <w:rsid w:val="00BE2A80"/>
    <w:rsid w:val="00BE401F"/>
    <w:rsid w:val="00BE5098"/>
    <w:rsid w:val="00BE5B2A"/>
    <w:rsid w:val="00BF2EAF"/>
    <w:rsid w:val="00C113FE"/>
    <w:rsid w:val="00C16A60"/>
    <w:rsid w:val="00C176AE"/>
    <w:rsid w:val="00C24210"/>
    <w:rsid w:val="00C243FA"/>
    <w:rsid w:val="00C3298E"/>
    <w:rsid w:val="00C32A8D"/>
    <w:rsid w:val="00C3428C"/>
    <w:rsid w:val="00C427D3"/>
    <w:rsid w:val="00C43ACF"/>
    <w:rsid w:val="00C462A0"/>
    <w:rsid w:val="00C4759B"/>
    <w:rsid w:val="00C51001"/>
    <w:rsid w:val="00C72D04"/>
    <w:rsid w:val="00C81C00"/>
    <w:rsid w:val="00C86815"/>
    <w:rsid w:val="00C931AF"/>
    <w:rsid w:val="00C94095"/>
    <w:rsid w:val="00C95C30"/>
    <w:rsid w:val="00CA0CD1"/>
    <w:rsid w:val="00CA0E76"/>
    <w:rsid w:val="00CA15E5"/>
    <w:rsid w:val="00CA1AB1"/>
    <w:rsid w:val="00CA442C"/>
    <w:rsid w:val="00CB2C8B"/>
    <w:rsid w:val="00CB3ACC"/>
    <w:rsid w:val="00CB3E61"/>
    <w:rsid w:val="00CB606A"/>
    <w:rsid w:val="00CB7FE2"/>
    <w:rsid w:val="00CC0818"/>
    <w:rsid w:val="00CD7CAC"/>
    <w:rsid w:val="00CF4A85"/>
    <w:rsid w:val="00CF702C"/>
    <w:rsid w:val="00D13792"/>
    <w:rsid w:val="00D17BFB"/>
    <w:rsid w:val="00D2520F"/>
    <w:rsid w:val="00D26017"/>
    <w:rsid w:val="00D35EB7"/>
    <w:rsid w:val="00D42252"/>
    <w:rsid w:val="00D434C5"/>
    <w:rsid w:val="00D553A2"/>
    <w:rsid w:val="00D62A22"/>
    <w:rsid w:val="00D630DF"/>
    <w:rsid w:val="00D633AF"/>
    <w:rsid w:val="00D638F0"/>
    <w:rsid w:val="00D67860"/>
    <w:rsid w:val="00D67931"/>
    <w:rsid w:val="00D80B0D"/>
    <w:rsid w:val="00D82DD3"/>
    <w:rsid w:val="00D84FFB"/>
    <w:rsid w:val="00D859E4"/>
    <w:rsid w:val="00D9655E"/>
    <w:rsid w:val="00D96DA9"/>
    <w:rsid w:val="00DA1E16"/>
    <w:rsid w:val="00DA7259"/>
    <w:rsid w:val="00DC2970"/>
    <w:rsid w:val="00DD7648"/>
    <w:rsid w:val="00DE10CB"/>
    <w:rsid w:val="00DE6217"/>
    <w:rsid w:val="00DF486A"/>
    <w:rsid w:val="00DF52BB"/>
    <w:rsid w:val="00DF55D0"/>
    <w:rsid w:val="00DF7109"/>
    <w:rsid w:val="00DF749A"/>
    <w:rsid w:val="00DF7B92"/>
    <w:rsid w:val="00E01C5A"/>
    <w:rsid w:val="00E06D19"/>
    <w:rsid w:val="00E11140"/>
    <w:rsid w:val="00E14FFF"/>
    <w:rsid w:val="00E21B06"/>
    <w:rsid w:val="00E32D5F"/>
    <w:rsid w:val="00E41809"/>
    <w:rsid w:val="00E50080"/>
    <w:rsid w:val="00E510D8"/>
    <w:rsid w:val="00E56877"/>
    <w:rsid w:val="00E62207"/>
    <w:rsid w:val="00E634BE"/>
    <w:rsid w:val="00E64151"/>
    <w:rsid w:val="00E646A0"/>
    <w:rsid w:val="00E7136C"/>
    <w:rsid w:val="00E7231B"/>
    <w:rsid w:val="00E726B4"/>
    <w:rsid w:val="00E802B6"/>
    <w:rsid w:val="00E80F8B"/>
    <w:rsid w:val="00E81B8A"/>
    <w:rsid w:val="00E854AF"/>
    <w:rsid w:val="00E933CB"/>
    <w:rsid w:val="00E94C60"/>
    <w:rsid w:val="00EA12A1"/>
    <w:rsid w:val="00EA3057"/>
    <w:rsid w:val="00EA3454"/>
    <w:rsid w:val="00EA6E2C"/>
    <w:rsid w:val="00EC0B02"/>
    <w:rsid w:val="00EC7EC7"/>
    <w:rsid w:val="00ED0A90"/>
    <w:rsid w:val="00ED174C"/>
    <w:rsid w:val="00ED52AF"/>
    <w:rsid w:val="00ED5648"/>
    <w:rsid w:val="00ED7D88"/>
    <w:rsid w:val="00EE67E9"/>
    <w:rsid w:val="00EE68C1"/>
    <w:rsid w:val="00EF7144"/>
    <w:rsid w:val="00F00EB0"/>
    <w:rsid w:val="00F0450C"/>
    <w:rsid w:val="00F14EAE"/>
    <w:rsid w:val="00F2609D"/>
    <w:rsid w:val="00F30955"/>
    <w:rsid w:val="00F3282D"/>
    <w:rsid w:val="00F35FDE"/>
    <w:rsid w:val="00F40067"/>
    <w:rsid w:val="00F45736"/>
    <w:rsid w:val="00F557C5"/>
    <w:rsid w:val="00F57604"/>
    <w:rsid w:val="00F61407"/>
    <w:rsid w:val="00F6319C"/>
    <w:rsid w:val="00F647CE"/>
    <w:rsid w:val="00F710A5"/>
    <w:rsid w:val="00F72541"/>
    <w:rsid w:val="00F727A9"/>
    <w:rsid w:val="00F74D3C"/>
    <w:rsid w:val="00F91369"/>
    <w:rsid w:val="00F94B6F"/>
    <w:rsid w:val="00F94BFC"/>
    <w:rsid w:val="00F9537A"/>
    <w:rsid w:val="00FA018E"/>
    <w:rsid w:val="00FA4CBE"/>
    <w:rsid w:val="00FA52B8"/>
    <w:rsid w:val="00FB21BE"/>
    <w:rsid w:val="00FB393B"/>
    <w:rsid w:val="00FB3A0A"/>
    <w:rsid w:val="00FC05FC"/>
    <w:rsid w:val="00FC595A"/>
    <w:rsid w:val="00FE05FA"/>
    <w:rsid w:val="00FE19F5"/>
    <w:rsid w:val="00FE575C"/>
    <w:rsid w:val="00FF2333"/>
    <w:rsid w:val="00FF25EA"/>
    <w:rsid w:val="00FF35F3"/>
    <w:rsid w:val="00FF70E0"/>
    <w:rsid w:val="00FF7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8B"/>
    <w:pPr>
      <w:spacing w:before="120" w:after="120" w:line="240" w:lineRule="auto"/>
      <w:jc w:val="both"/>
    </w:pPr>
    <w:rPr>
      <w:rFonts w:ascii="Times New Roman" w:eastAsiaTheme="minorEastAsia" w:hAnsi="Times New Roman"/>
    </w:rPr>
  </w:style>
  <w:style w:type="paragraph" w:styleId="Heading1">
    <w:name w:val="heading 1"/>
    <w:basedOn w:val="Normal"/>
    <w:next w:val="Normal"/>
    <w:link w:val="Heading1Char"/>
    <w:uiPriority w:val="9"/>
    <w:qFormat/>
    <w:rsid w:val="00521A8F"/>
    <w:pPr>
      <w:keepNext/>
      <w:keepLines/>
      <w:numPr>
        <w:numId w:val="3"/>
      </w:numPr>
      <w:spacing w:before="240" w:after="24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A8F"/>
    <w:rPr>
      <w:rFonts w:ascii="Times New Roman" w:eastAsiaTheme="majorEastAsia" w:hAnsi="Times New Roman" w:cstheme="majorBidi"/>
      <w:b/>
      <w:color w:val="000000" w:themeColor="text1"/>
      <w:sz w:val="24"/>
      <w:szCs w:val="32"/>
    </w:rPr>
  </w:style>
  <w:style w:type="table" w:styleId="TableGrid">
    <w:name w:val="Table Grid"/>
    <w:basedOn w:val="TableNormal"/>
    <w:uiPriority w:val="59"/>
    <w:rsid w:val="00521A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Annex,List Paragraph1,Table/Figure Heading,Titel ohne Strich"/>
    <w:basedOn w:val="Normal"/>
    <w:link w:val="ListParagraphChar"/>
    <w:uiPriority w:val="34"/>
    <w:qFormat/>
    <w:rsid w:val="00521A8F"/>
    <w:pPr>
      <w:ind w:left="720"/>
      <w:contextualSpacing/>
    </w:pPr>
  </w:style>
  <w:style w:type="character" w:styleId="FootnoteReference">
    <w:name w:val="footnote reference"/>
    <w:aliases w:val="ftref,BVI fnr,16 Point,Superscript 6 Point,Footnotes refss,Footnote Reference Number,nota pié di pagina,Times 10 Point, Exposant 3 Point,Footnote symbol,Footnote reference number,Exposant 3 Point,EN Footnote Reference,note TESI,4_G"/>
    <w:basedOn w:val="DefaultParagraphFont"/>
    <w:link w:val="BVIfnrChar"/>
    <w:uiPriority w:val="99"/>
    <w:unhideWhenUsed/>
    <w:qFormat/>
    <w:rsid w:val="00521A8F"/>
    <w:rPr>
      <w:vertAlign w:val="superscript"/>
    </w:rPr>
  </w:style>
  <w:style w:type="character" w:customStyle="1" w:styleId="ListParagraphChar">
    <w:name w:val="List Paragraph Char"/>
    <w:aliases w:val="Annex Char,List Paragraph1 Char,Table/Figure Heading Char,Titel ohne Strich Char"/>
    <w:link w:val="ListParagraph"/>
    <w:uiPriority w:val="34"/>
    <w:qFormat/>
    <w:locked/>
    <w:rsid w:val="00521A8F"/>
    <w:rPr>
      <w:rFonts w:ascii="Times New Roman" w:eastAsiaTheme="minorEastAsia" w:hAnsi="Times New Roman"/>
      <w:sz w:val="24"/>
    </w:rPr>
  </w:style>
  <w:style w:type="character" w:styleId="CommentReference">
    <w:name w:val="annotation reference"/>
    <w:basedOn w:val="DefaultParagraphFont"/>
    <w:uiPriority w:val="99"/>
    <w:semiHidden/>
    <w:unhideWhenUsed/>
    <w:rsid w:val="00521A8F"/>
    <w:rPr>
      <w:sz w:val="16"/>
      <w:szCs w:val="16"/>
    </w:rPr>
  </w:style>
  <w:style w:type="paragraph" w:styleId="CommentText">
    <w:name w:val="annotation text"/>
    <w:basedOn w:val="Normal"/>
    <w:link w:val="CommentTextChar"/>
    <w:uiPriority w:val="99"/>
    <w:semiHidden/>
    <w:unhideWhenUsed/>
    <w:rsid w:val="00521A8F"/>
    <w:rPr>
      <w:sz w:val="20"/>
      <w:szCs w:val="20"/>
    </w:rPr>
  </w:style>
  <w:style w:type="character" w:customStyle="1" w:styleId="CommentTextChar">
    <w:name w:val="Comment Text Char"/>
    <w:basedOn w:val="DefaultParagraphFont"/>
    <w:link w:val="CommentText"/>
    <w:uiPriority w:val="99"/>
    <w:semiHidden/>
    <w:rsid w:val="00521A8F"/>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521A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A8F"/>
    <w:rPr>
      <w:rFonts w:ascii="Tahoma" w:eastAsiaTheme="minorEastAsia" w:hAnsi="Tahoma" w:cs="Tahoma"/>
      <w:sz w:val="16"/>
      <w:szCs w:val="16"/>
    </w:rPr>
  </w:style>
  <w:style w:type="paragraph" w:styleId="EndnoteText">
    <w:name w:val="endnote text"/>
    <w:basedOn w:val="Normal"/>
    <w:link w:val="EndnoteTextChar"/>
    <w:semiHidden/>
    <w:rsid w:val="0056714A"/>
    <w:pPr>
      <w:widowControl w:val="0"/>
      <w:spacing w:after="0"/>
    </w:pPr>
    <w:rPr>
      <w:rFonts w:eastAsia="Times New Roman" w:cs="Times New Roman"/>
      <w:sz w:val="20"/>
      <w:szCs w:val="20"/>
    </w:rPr>
  </w:style>
  <w:style w:type="character" w:customStyle="1" w:styleId="EndnoteTextChar">
    <w:name w:val="Endnote Text Char"/>
    <w:basedOn w:val="DefaultParagraphFont"/>
    <w:link w:val="EndnoteText"/>
    <w:semiHidden/>
    <w:rsid w:val="0056714A"/>
    <w:rPr>
      <w:rFonts w:ascii="Times New Roman" w:eastAsia="Times New Roman" w:hAnsi="Times New Roman" w:cs="Times New Roman"/>
      <w:sz w:val="20"/>
      <w:szCs w:val="20"/>
    </w:rPr>
  </w:style>
  <w:style w:type="paragraph" w:customStyle="1" w:styleId="Normal1">
    <w:name w:val="Normal1"/>
    <w:basedOn w:val="Normal"/>
    <w:rsid w:val="0056714A"/>
    <w:pPr>
      <w:spacing w:before="100" w:beforeAutospacing="1" w:after="100" w:afterAutospacing="1"/>
      <w:jc w:val="left"/>
    </w:pPr>
    <w:rPr>
      <w:rFonts w:eastAsia="Times New Roman" w:cs="Times New Roman"/>
      <w:szCs w:val="24"/>
      <w:lang w:val="sq-AL" w:eastAsia="sq-AL"/>
    </w:rPr>
  </w:style>
  <w:style w:type="character" w:styleId="Hyperlink">
    <w:name w:val="Hyperlink"/>
    <w:basedOn w:val="DefaultParagraphFont"/>
    <w:uiPriority w:val="99"/>
    <w:unhideWhenUsed/>
    <w:rsid w:val="00A012BB"/>
    <w:rPr>
      <w:color w:val="0000FF" w:themeColor="hyperlink"/>
      <w:u w:val="single"/>
    </w:rPr>
  </w:style>
  <w:style w:type="paragraph" w:styleId="TOCHeading">
    <w:name w:val="TOC Heading"/>
    <w:basedOn w:val="Heading1"/>
    <w:next w:val="Normal"/>
    <w:uiPriority w:val="39"/>
    <w:unhideWhenUsed/>
    <w:qFormat/>
    <w:rsid w:val="00A012BB"/>
    <w:pPr>
      <w:numPr>
        <w:numId w:val="0"/>
      </w:numPr>
      <w:spacing w:before="480" w:after="0" w:line="276" w:lineRule="auto"/>
      <w:jc w:val="left"/>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rsid w:val="00363B6B"/>
    <w:pPr>
      <w:tabs>
        <w:tab w:val="right" w:leader="dot" w:pos="9350"/>
      </w:tabs>
      <w:spacing w:after="0"/>
      <w:jc w:val="left"/>
    </w:pPr>
    <w:rPr>
      <w:rFonts w:cs="Times New Roman"/>
      <w:bCs/>
      <w:i/>
      <w:iCs/>
      <w:noProof/>
      <w:szCs w:val="24"/>
      <w:lang w:val="en-GB"/>
    </w:rPr>
  </w:style>
  <w:style w:type="paragraph" w:styleId="NormalWeb">
    <w:name w:val="Normal (Web)"/>
    <w:basedOn w:val="Normal"/>
    <w:uiPriority w:val="99"/>
    <w:unhideWhenUsed/>
    <w:rsid w:val="00815D28"/>
    <w:pPr>
      <w:spacing w:before="100" w:beforeAutospacing="1" w:after="100" w:afterAutospacing="1"/>
    </w:pPr>
    <w:rPr>
      <w:rFonts w:eastAsia="Times New Roman" w:cs="Times New Roman"/>
      <w:szCs w:val="24"/>
    </w:rPr>
  </w:style>
  <w:style w:type="paragraph" w:customStyle="1" w:styleId="CM4">
    <w:name w:val="CM4"/>
    <w:basedOn w:val="Normal"/>
    <w:next w:val="Normal"/>
    <w:uiPriority w:val="99"/>
    <w:rsid w:val="00815D28"/>
    <w:pPr>
      <w:autoSpaceDE w:val="0"/>
      <w:autoSpaceDN w:val="0"/>
      <w:adjustRightInd w:val="0"/>
      <w:spacing w:before="0" w:after="0"/>
      <w:jc w:val="left"/>
    </w:pPr>
    <w:rPr>
      <w:rFonts w:ascii="EUAlbertina" w:eastAsia="Times New Roman" w:hAnsi="EUAlbertina" w:cs="Times New Roman"/>
      <w:szCs w:val="24"/>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rsid w:val="00BE162B"/>
    <w:pPr>
      <w:spacing w:before="0" w:after="160" w:line="240" w:lineRule="exact"/>
      <w:jc w:val="left"/>
    </w:pPr>
    <w:rPr>
      <w:rFonts w:asciiTheme="minorHAnsi" w:eastAsiaTheme="minorHAnsi" w:hAnsiTheme="minorHAnsi"/>
      <w:vertAlign w:val="superscript"/>
    </w:rPr>
  </w:style>
  <w:style w:type="paragraph" w:styleId="BodyText">
    <w:name w:val="Body Text"/>
    <w:basedOn w:val="Normal"/>
    <w:link w:val="BodyTextChar"/>
    <w:rsid w:val="00BE162B"/>
    <w:pPr>
      <w:spacing w:before="0" w:after="280" w:line="280" w:lineRule="atLeast"/>
      <w:jc w:val="left"/>
    </w:pPr>
    <w:rPr>
      <w:rFonts w:ascii="Arial" w:eastAsia="Times New Roman" w:hAnsi="Arial" w:cs="Arial"/>
      <w:sz w:val="20"/>
      <w:szCs w:val="20"/>
      <w:lang w:eastAsia="da-DK"/>
    </w:rPr>
  </w:style>
  <w:style w:type="character" w:customStyle="1" w:styleId="BodyTextChar">
    <w:name w:val="Body Text Char"/>
    <w:basedOn w:val="DefaultParagraphFont"/>
    <w:link w:val="BodyText"/>
    <w:rsid w:val="00BE162B"/>
    <w:rPr>
      <w:rFonts w:ascii="Arial" w:eastAsia="Times New Roman" w:hAnsi="Arial" w:cs="Arial"/>
      <w:sz w:val="20"/>
      <w:szCs w:val="20"/>
      <w:lang w:eastAsia="da-DK"/>
    </w:rPr>
  </w:style>
  <w:style w:type="paragraph" w:styleId="FootnoteText">
    <w:name w:val="footnote text"/>
    <w:aliases w:val="single space,ft,Footnote Text Char Char Char Char,Footnote Text Char Char Char,Footnote Text Char Char,footnote text,ft Char Char Char,ft Char Char,Fußnote,FOOTNOTES,fn,F1,Geneva 9,Boston 1,Footnote Text Char2,ADB,Fußnotentextf,Car Car"/>
    <w:basedOn w:val="Normal"/>
    <w:link w:val="FootnoteTextChar"/>
    <w:uiPriority w:val="99"/>
    <w:qFormat/>
    <w:rsid w:val="00BE162B"/>
    <w:pPr>
      <w:spacing w:before="0" w:after="0" w:line="270" w:lineRule="atLeast"/>
      <w:jc w:val="left"/>
    </w:pPr>
    <w:rPr>
      <w:rFonts w:ascii="Arial" w:eastAsia="Times New Roman" w:hAnsi="Arial" w:cs="Arial"/>
      <w:sz w:val="20"/>
      <w:szCs w:val="20"/>
      <w:lang w:eastAsia="da-DK"/>
    </w:rPr>
  </w:style>
  <w:style w:type="character" w:customStyle="1" w:styleId="FootnoteTextChar">
    <w:name w:val="Footnote Text Char"/>
    <w:aliases w:val="single space Char,ft Char,Footnote Text Char Char Char Char Char,Footnote Text Char Char Char Char1,Footnote Text Char Char Char1,footnote text Char,ft Char Char Char Char,ft Char Char Char1,Fußnote Char,FOOTNOTES Char,fn Char,F1 Char"/>
    <w:basedOn w:val="DefaultParagraphFont"/>
    <w:link w:val="FootnoteText"/>
    <w:uiPriority w:val="99"/>
    <w:rsid w:val="00BE162B"/>
    <w:rPr>
      <w:rFonts w:ascii="Arial" w:eastAsia="Times New Roman" w:hAnsi="Arial" w:cs="Arial"/>
      <w:sz w:val="20"/>
      <w:szCs w:val="20"/>
      <w:lang w:eastAsia="da-DK"/>
    </w:rPr>
  </w:style>
  <w:style w:type="paragraph" w:styleId="CommentSubject">
    <w:name w:val="annotation subject"/>
    <w:basedOn w:val="CommentText"/>
    <w:next w:val="CommentText"/>
    <w:link w:val="CommentSubjectChar"/>
    <w:uiPriority w:val="99"/>
    <w:semiHidden/>
    <w:unhideWhenUsed/>
    <w:rsid w:val="001B4719"/>
    <w:rPr>
      <w:b/>
      <w:bCs/>
    </w:rPr>
  </w:style>
  <w:style w:type="character" w:customStyle="1" w:styleId="CommentSubjectChar">
    <w:name w:val="Comment Subject Char"/>
    <w:basedOn w:val="CommentTextChar"/>
    <w:link w:val="CommentSubject"/>
    <w:uiPriority w:val="99"/>
    <w:semiHidden/>
    <w:rsid w:val="001B4719"/>
    <w:rPr>
      <w:rFonts w:ascii="Times New Roman" w:eastAsiaTheme="minorEastAsia" w:hAnsi="Times New Roman"/>
      <w:b/>
      <w:bCs/>
      <w:sz w:val="20"/>
      <w:szCs w:val="20"/>
    </w:rPr>
  </w:style>
  <w:style w:type="paragraph" w:styleId="Revision">
    <w:name w:val="Revision"/>
    <w:hidden/>
    <w:uiPriority w:val="99"/>
    <w:semiHidden/>
    <w:rsid w:val="00C176AE"/>
    <w:pPr>
      <w:spacing w:after="0" w:line="240" w:lineRule="auto"/>
    </w:pPr>
    <w:rPr>
      <w:rFonts w:ascii="Times New Roman" w:eastAsiaTheme="minorEastAsia" w:hAnsi="Times New Roman"/>
      <w:sz w:val="24"/>
    </w:rPr>
  </w:style>
  <w:style w:type="paragraph" w:styleId="Footer">
    <w:name w:val="footer"/>
    <w:basedOn w:val="Normal"/>
    <w:link w:val="FooterChar"/>
    <w:uiPriority w:val="99"/>
    <w:unhideWhenUsed/>
    <w:rsid w:val="00B81736"/>
    <w:pPr>
      <w:tabs>
        <w:tab w:val="center" w:pos="4680"/>
        <w:tab w:val="right" w:pos="9360"/>
      </w:tabs>
      <w:spacing w:before="0" w:after="0"/>
    </w:pPr>
  </w:style>
  <w:style w:type="character" w:customStyle="1" w:styleId="FooterChar">
    <w:name w:val="Footer Char"/>
    <w:basedOn w:val="DefaultParagraphFont"/>
    <w:link w:val="Footer"/>
    <w:uiPriority w:val="99"/>
    <w:rsid w:val="00B81736"/>
    <w:rPr>
      <w:rFonts w:ascii="Times New Roman" w:eastAsiaTheme="minorEastAsia" w:hAnsi="Times New Roman"/>
      <w:sz w:val="24"/>
    </w:rPr>
  </w:style>
  <w:style w:type="character" w:styleId="PageNumber">
    <w:name w:val="page number"/>
    <w:basedOn w:val="DefaultParagraphFont"/>
    <w:uiPriority w:val="99"/>
    <w:semiHidden/>
    <w:unhideWhenUsed/>
    <w:rsid w:val="00B81736"/>
  </w:style>
  <w:style w:type="paragraph" w:styleId="Header">
    <w:name w:val="header"/>
    <w:basedOn w:val="Normal"/>
    <w:link w:val="HeaderChar"/>
    <w:uiPriority w:val="99"/>
    <w:unhideWhenUsed/>
    <w:rsid w:val="008F5A33"/>
    <w:pPr>
      <w:tabs>
        <w:tab w:val="center" w:pos="4680"/>
        <w:tab w:val="right" w:pos="9360"/>
      </w:tabs>
      <w:spacing w:before="0" w:after="0"/>
    </w:pPr>
  </w:style>
  <w:style w:type="character" w:customStyle="1" w:styleId="HeaderChar">
    <w:name w:val="Header Char"/>
    <w:basedOn w:val="DefaultParagraphFont"/>
    <w:link w:val="Header"/>
    <w:uiPriority w:val="99"/>
    <w:rsid w:val="008F5A33"/>
    <w:rPr>
      <w:rFonts w:ascii="Times New Roman" w:eastAsiaTheme="minorEastAsia" w:hAnsi="Times New Roman"/>
      <w:sz w:val="24"/>
    </w:rPr>
  </w:style>
  <w:style w:type="paragraph" w:customStyle="1" w:styleId="Default">
    <w:name w:val="Default"/>
    <w:rsid w:val="0040511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728266377">
      <w:bodyDiv w:val="1"/>
      <w:marLeft w:val="0"/>
      <w:marRight w:val="0"/>
      <w:marTop w:val="0"/>
      <w:marBottom w:val="0"/>
      <w:divBdr>
        <w:top w:val="none" w:sz="0" w:space="0" w:color="auto"/>
        <w:left w:val="none" w:sz="0" w:space="0" w:color="auto"/>
        <w:bottom w:val="none" w:sz="0" w:space="0" w:color="auto"/>
        <w:right w:val="none" w:sz="0" w:space="0" w:color="auto"/>
      </w:divBdr>
    </w:div>
    <w:div w:id="18400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eur-lex.europa.eu/legal-content/EN/AUTO/?uri=uriserv:l28076" TargetMode="External"/><Relationship Id="rId26" Type="http://schemas.openxmlformats.org/officeDocument/2006/relationships/hyperlink" Target="https://en.wikipedia.org/wiki/Carnivorous" TargetMode="External"/><Relationship Id="rId3" Type="http://schemas.openxmlformats.org/officeDocument/2006/relationships/styles" Target="styles.xml"/><Relationship Id="rId21" Type="http://schemas.openxmlformats.org/officeDocument/2006/relationships/hyperlink" Target="http://eur-lex.europa.eu/legal-content/EN/TXT/?uri=LEGISSUM:l28002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EN/AUTO/?uri=uriserv:ev0024" TargetMode="External"/><Relationship Id="rId25" Type="http://schemas.openxmlformats.org/officeDocument/2006/relationships/hyperlink" Target="https://en.wikipedia.org/wiki/Clade" TargetMode="External"/><Relationship Id="rId2" Type="http://schemas.openxmlformats.org/officeDocument/2006/relationships/numbering" Target="numbering.xml"/><Relationship Id="rId16" Type="http://schemas.openxmlformats.org/officeDocument/2006/relationships/hyperlink" Target="https://eur-lex.europa.eu/legal-content/EN/AUTO/?uri=uriserv:l28164" TargetMode="External"/><Relationship Id="rId20" Type="http://schemas.openxmlformats.org/officeDocument/2006/relationships/hyperlink" Target="http://eur-lex.europa.eu/legal-content/EN/TXT/?uri=LEGISSUM:ev0002" TargetMode="External"/><Relationship Id="rId29" Type="http://schemas.openxmlformats.org/officeDocument/2006/relationships/hyperlink" Target="https://en.wikipedia.org/wiki/Marine_mamm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ur-lex.europa.eu/legal-content/EN/TXT/?uri=LEGISSUM:l28076" TargetMode="External"/><Relationship Id="rId5" Type="http://schemas.openxmlformats.org/officeDocument/2006/relationships/webSettings" Target="webSettings.xml"/><Relationship Id="rId15" Type="http://schemas.openxmlformats.org/officeDocument/2006/relationships/hyperlink" Target="https://eur-lex.europa.eu/legal-content/EN/AUTO/?uri=uriserv:l28002b" TargetMode="External"/><Relationship Id="rId23" Type="http://schemas.openxmlformats.org/officeDocument/2006/relationships/hyperlink" Target="http://eur-lex.europa.eu/legal-content/EN/TXT/?uri=LEGISSUM:200703_1" TargetMode="External"/><Relationship Id="rId28" Type="http://schemas.openxmlformats.org/officeDocument/2006/relationships/hyperlink" Target="https://en.wikipedia.org/wiki/List_of_semiaquatic_tetrapods" TargetMode="External"/><Relationship Id="rId10" Type="http://schemas.openxmlformats.org/officeDocument/2006/relationships/image" Target="media/image3.png"/><Relationship Id="rId19" Type="http://schemas.openxmlformats.org/officeDocument/2006/relationships/hyperlink" Target="https://eur-lex.europa.eu/legal-content/EN/LSU/?uri=CELEX:32007L000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legal-content/EN/AUTO/?uri=uriserv:l28056" TargetMode="External"/><Relationship Id="rId22" Type="http://schemas.openxmlformats.org/officeDocument/2006/relationships/hyperlink" Target="http://eur-lex.europa.eu/legal-content/EN/TXT/?uri=LEGISSUM:en0027" TargetMode="External"/><Relationship Id="rId27" Type="http://schemas.openxmlformats.org/officeDocument/2006/relationships/hyperlink" Target="https://en.wikipedia.org/wiki/F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2B39-3593-45D4-A216-CABBF625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59</Pages>
  <Words>26735</Words>
  <Characters>152394</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2019-10-23T10:33:00Z</cp:lastPrinted>
  <dcterms:created xsi:type="dcterms:W3CDTF">2020-01-20T11:33:00Z</dcterms:created>
  <dcterms:modified xsi:type="dcterms:W3CDTF">2020-06-29T09:50:00Z</dcterms:modified>
</cp:coreProperties>
</file>