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4BA7" w14:textId="77777777" w:rsidR="00306895" w:rsidRPr="00821012" w:rsidRDefault="00306895" w:rsidP="00306895">
      <w:pPr>
        <w:tabs>
          <w:tab w:val="right" w:pos="7655"/>
        </w:tabs>
        <w:spacing w:before="360" w:after="360"/>
        <w:jc w:val="both"/>
        <w:rPr>
          <w:rStyle w:val="flt"/>
          <w:rFonts w:ascii="Arial" w:hAnsi="Arial" w:cs="Arial"/>
          <w:b/>
          <w:szCs w:val="24"/>
          <w:lang w:val="en-US"/>
        </w:rPr>
      </w:pPr>
      <w:r w:rsidRPr="00821012">
        <w:rPr>
          <w:rStyle w:val="flt"/>
          <w:rFonts w:ascii="Arial" w:hAnsi="Arial" w:cs="Arial"/>
          <w:b/>
          <w:szCs w:val="24"/>
          <w:lang w:val="en-US"/>
        </w:rPr>
        <w:t>STRENGTHENING COMMUNITY POLICING IN ALBANIA, PHASE 3, PROGRAM IMPLEMENTATION, 2024-2030</w:t>
      </w:r>
    </w:p>
    <w:p w14:paraId="22A2D659" w14:textId="77777777" w:rsidR="00821012" w:rsidRPr="00821012" w:rsidRDefault="00821012" w:rsidP="00821012">
      <w:pPr>
        <w:autoSpaceDE w:val="0"/>
        <w:autoSpaceDN w:val="0"/>
        <w:adjustRightInd w:val="0"/>
        <w:rPr>
          <w:rFonts w:asciiTheme="majorHAnsi" w:eastAsia="Calibri" w:hAnsiTheme="majorHAnsi" w:cstheme="majorHAnsi"/>
          <w:b/>
          <w:i/>
          <w:color w:val="FF0000"/>
          <w:sz w:val="28"/>
          <w:szCs w:val="28"/>
          <w:lang w:val="en-GB" w:bidi="en-GB"/>
        </w:rPr>
      </w:pPr>
      <w:r w:rsidRPr="00821012">
        <w:rPr>
          <w:rStyle w:val="flt"/>
          <w:rFonts w:ascii="Arial" w:hAnsi="Arial" w:cs="Arial"/>
          <w:b/>
          <w:lang w:val="en-US"/>
        </w:rPr>
        <w:t>UM2023/30292/TIRA</w:t>
      </w:r>
    </w:p>
    <w:p w14:paraId="557CF007" w14:textId="77777777" w:rsidR="0009283A" w:rsidRPr="00821012" w:rsidRDefault="0009283A">
      <w:pPr>
        <w:rPr>
          <w:b/>
          <w:lang w:val="en-GB"/>
        </w:rPr>
      </w:pPr>
    </w:p>
    <w:p w14:paraId="3AF2CF2C" w14:textId="27AE1A38" w:rsidR="007B2760" w:rsidRPr="002B670C" w:rsidRDefault="0066298B">
      <w:pPr>
        <w:rPr>
          <w:b/>
          <w:lang w:val="en-GB"/>
        </w:rPr>
      </w:pPr>
      <w:r>
        <w:rPr>
          <w:b/>
          <w:lang w:val="en-GB"/>
        </w:rPr>
        <w:t xml:space="preserve">Interim </w:t>
      </w:r>
      <w:r w:rsidR="005A6EE8" w:rsidRPr="002B670C">
        <w:rPr>
          <w:b/>
          <w:lang w:val="en-GB"/>
        </w:rPr>
        <w:t>Answers to Bidder</w:t>
      </w:r>
      <w:r w:rsidR="00F74D5E" w:rsidRPr="002B670C">
        <w:rPr>
          <w:b/>
          <w:lang w:val="en-GB"/>
        </w:rPr>
        <w:t>s’</w:t>
      </w:r>
      <w:r w:rsidR="005A6EE8" w:rsidRPr="002B670C">
        <w:rPr>
          <w:b/>
          <w:lang w:val="en-GB"/>
        </w:rPr>
        <w:t xml:space="preserve"> Questions</w:t>
      </w:r>
      <w:r>
        <w:rPr>
          <w:b/>
          <w:lang w:val="en-GB"/>
        </w:rPr>
        <w:t xml:space="preserve"> and a </w:t>
      </w:r>
      <w:r w:rsidR="0060476B">
        <w:rPr>
          <w:b/>
          <w:lang w:val="en-GB"/>
        </w:rPr>
        <w:t>Clarification</w:t>
      </w:r>
    </w:p>
    <w:p w14:paraId="51D014EF" w14:textId="77777777" w:rsidR="007B2760" w:rsidRPr="002B670C" w:rsidRDefault="007B2760">
      <w:pPr>
        <w:rPr>
          <w:lang w:val="en-GB"/>
        </w:rPr>
      </w:pPr>
    </w:p>
    <w:tbl>
      <w:tblPr>
        <w:tblStyle w:val="TableGrid"/>
        <w:tblW w:w="0" w:type="auto"/>
        <w:tblLook w:val="04A0" w:firstRow="1" w:lastRow="0" w:firstColumn="1" w:lastColumn="0" w:noHBand="0" w:noVBand="1"/>
      </w:tblPr>
      <w:tblGrid>
        <w:gridCol w:w="562"/>
        <w:gridCol w:w="4962"/>
        <w:gridCol w:w="4819"/>
      </w:tblGrid>
      <w:tr w:rsidR="00464C99" w14:paraId="1AA6F17C" w14:textId="77777777" w:rsidTr="00DF03E1">
        <w:tc>
          <w:tcPr>
            <w:tcW w:w="562" w:type="dxa"/>
          </w:tcPr>
          <w:p w14:paraId="53151B84" w14:textId="30B77606" w:rsidR="00464C99" w:rsidRPr="00821012" w:rsidRDefault="00464C99">
            <w:pPr>
              <w:rPr>
                <w:b/>
                <w:bCs/>
              </w:rPr>
            </w:pPr>
            <w:r w:rsidRPr="00821012">
              <w:rPr>
                <w:b/>
                <w:bCs/>
              </w:rPr>
              <w:t>No.</w:t>
            </w:r>
          </w:p>
        </w:tc>
        <w:tc>
          <w:tcPr>
            <w:tcW w:w="4962" w:type="dxa"/>
          </w:tcPr>
          <w:p w14:paraId="6BCD8060" w14:textId="2EED1F6E" w:rsidR="00464C99" w:rsidRPr="00821012" w:rsidRDefault="00464C99">
            <w:pPr>
              <w:rPr>
                <w:b/>
                <w:bCs/>
              </w:rPr>
            </w:pPr>
            <w:r w:rsidRPr="00821012">
              <w:rPr>
                <w:b/>
                <w:bCs/>
              </w:rPr>
              <w:t>Question</w:t>
            </w:r>
          </w:p>
        </w:tc>
        <w:tc>
          <w:tcPr>
            <w:tcW w:w="4819" w:type="dxa"/>
          </w:tcPr>
          <w:p w14:paraId="45C2D285" w14:textId="15384090" w:rsidR="00464C99" w:rsidRPr="00821012" w:rsidRDefault="00464C99">
            <w:pPr>
              <w:rPr>
                <w:b/>
                <w:bCs/>
              </w:rPr>
            </w:pPr>
            <w:proofErr w:type="spellStart"/>
            <w:r w:rsidRPr="00821012">
              <w:rPr>
                <w:b/>
                <w:bCs/>
              </w:rPr>
              <w:t>Answer</w:t>
            </w:r>
            <w:proofErr w:type="spellEnd"/>
          </w:p>
        </w:tc>
      </w:tr>
      <w:tr w:rsidR="00464C99" w:rsidRPr="0060476B" w14:paraId="1EA1325A" w14:textId="77777777" w:rsidTr="00DF03E1">
        <w:tc>
          <w:tcPr>
            <w:tcW w:w="562" w:type="dxa"/>
          </w:tcPr>
          <w:p w14:paraId="118AE1F7" w14:textId="48FB1085" w:rsidR="00464C99" w:rsidRDefault="00464C99">
            <w:r>
              <w:t>1</w:t>
            </w:r>
          </w:p>
        </w:tc>
        <w:tc>
          <w:tcPr>
            <w:tcW w:w="4962" w:type="dxa"/>
          </w:tcPr>
          <w:p w14:paraId="1C62D1C3" w14:textId="161D0546" w:rsidR="00464C99" w:rsidRPr="00BC1E43" w:rsidRDefault="00464C99" w:rsidP="00BC1E43">
            <w:pPr>
              <w:rPr>
                <w:sz w:val="24"/>
                <w:szCs w:val="24"/>
                <w:lang w:val="en-GB"/>
              </w:rPr>
            </w:pPr>
            <w:r w:rsidRPr="00BC1E43">
              <w:rPr>
                <w:sz w:val="24"/>
                <w:szCs w:val="24"/>
                <w:lang w:val="en-GB"/>
              </w:rPr>
              <w:t>is there is any special form for application ( as it has been in previous tender</w:t>
            </w:r>
            <w:proofErr w:type="gramStart"/>
            <w:r w:rsidRPr="00BC1E43">
              <w:rPr>
                <w:sz w:val="24"/>
                <w:szCs w:val="24"/>
                <w:lang w:val="en-GB"/>
              </w:rPr>
              <w:t>)</w:t>
            </w:r>
            <w:proofErr w:type="gramEnd"/>
            <w:r w:rsidRPr="00BC1E43">
              <w:rPr>
                <w:sz w:val="24"/>
                <w:szCs w:val="24"/>
                <w:lang w:val="en-GB"/>
              </w:rPr>
              <w:t xml:space="preserve"> or we have to fill/respond to  only the documents that are in the web site ?;</w:t>
            </w:r>
          </w:p>
          <w:p w14:paraId="180B71E3" w14:textId="77777777" w:rsidR="00464C99" w:rsidRPr="00BC1E43" w:rsidRDefault="00464C99">
            <w:pPr>
              <w:rPr>
                <w:sz w:val="24"/>
                <w:szCs w:val="24"/>
                <w:lang w:val="en-GB"/>
              </w:rPr>
            </w:pPr>
          </w:p>
        </w:tc>
        <w:tc>
          <w:tcPr>
            <w:tcW w:w="4819" w:type="dxa"/>
          </w:tcPr>
          <w:p w14:paraId="0A1CCAF0" w14:textId="687FC7D5" w:rsidR="00464C99" w:rsidRPr="00BC1E43" w:rsidRDefault="00464C99">
            <w:pPr>
              <w:rPr>
                <w:sz w:val="24"/>
                <w:szCs w:val="24"/>
                <w:lang w:val="en-GB"/>
              </w:rPr>
            </w:pPr>
            <w:r w:rsidRPr="00BC1E43">
              <w:rPr>
                <w:sz w:val="24"/>
                <w:szCs w:val="24"/>
                <w:lang w:val="en-GB"/>
              </w:rPr>
              <w:t>The tenderer should complete all relevant parts of the “Procurement Document” and annex any supporting documents.</w:t>
            </w:r>
          </w:p>
        </w:tc>
      </w:tr>
      <w:tr w:rsidR="00464C99" w:rsidRPr="0060476B" w14:paraId="1578BE07" w14:textId="77777777" w:rsidTr="00DF03E1">
        <w:trPr>
          <w:trHeight w:val="876"/>
        </w:trPr>
        <w:tc>
          <w:tcPr>
            <w:tcW w:w="562" w:type="dxa"/>
          </w:tcPr>
          <w:p w14:paraId="29156C88" w14:textId="62B59CCD" w:rsidR="00464C99" w:rsidRPr="006521ED" w:rsidRDefault="00464C99">
            <w:pPr>
              <w:rPr>
                <w:lang w:val="en-GB"/>
              </w:rPr>
            </w:pPr>
            <w:r>
              <w:rPr>
                <w:lang w:val="en-GB"/>
              </w:rPr>
              <w:t>2</w:t>
            </w:r>
          </w:p>
        </w:tc>
        <w:tc>
          <w:tcPr>
            <w:tcW w:w="4962" w:type="dxa"/>
          </w:tcPr>
          <w:p w14:paraId="35F15BF9" w14:textId="2571D021" w:rsidR="00464C99" w:rsidRPr="00BC1E43" w:rsidRDefault="00464C99">
            <w:pPr>
              <w:rPr>
                <w:sz w:val="24"/>
                <w:szCs w:val="24"/>
                <w:lang w:val="en-GB"/>
              </w:rPr>
            </w:pPr>
            <w:r w:rsidRPr="00BC1E43">
              <w:rPr>
                <w:sz w:val="24"/>
                <w:szCs w:val="24"/>
                <w:lang w:val="en-GB"/>
              </w:rPr>
              <w:t>is there is any form for Approach to assignment?</w:t>
            </w:r>
          </w:p>
        </w:tc>
        <w:tc>
          <w:tcPr>
            <w:tcW w:w="4819" w:type="dxa"/>
          </w:tcPr>
          <w:p w14:paraId="07622CA3" w14:textId="2CBA7BA3" w:rsidR="00464C99" w:rsidRPr="00BC1E43" w:rsidRDefault="00464C99">
            <w:pPr>
              <w:rPr>
                <w:sz w:val="24"/>
                <w:szCs w:val="24"/>
                <w:lang w:val="en-GB"/>
              </w:rPr>
            </w:pPr>
            <w:r w:rsidRPr="00BC1E43">
              <w:rPr>
                <w:sz w:val="24"/>
                <w:szCs w:val="24"/>
                <w:lang w:val="en-GB"/>
              </w:rPr>
              <w:t>See Section 4.3 of the Procurement Document - Method for implementing the assignment.</w:t>
            </w:r>
          </w:p>
        </w:tc>
      </w:tr>
      <w:tr w:rsidR="00464C99" w:rsidRPr="0060476B" w14:paraId="09542CA4" w14:textId="77777777" w:rsidTr="00DF03E1">
        <w:tc>
          <w:tcPr>
            <w:tcW w:w="562" w:type="dxa"/>
          </w:tcPr>
          <w:p w14:paraId="541EC7D1" w14:textId="6C4D402F" w:rsidR="00464C99" w:rsidRPr="006521ED" w:rsidRDefault="00464C99">
            <w:pPr>
              <w:rPr>
                <w:lang w:val="en-GB"/>
              </w:rPr>
            </w:pPr>
            <w:r>
              <w:rPr>
                <w:lang w:val="en-GB"/>
              </w:rPr>
              <w:t>3</w:t>
            </w:r>
          </w:p>
        </w:tc>
        <w:tc>
          <w:tcPr>
            <w:tcW w:w="4962" w:type="dxa"/>
          </w:tcPr>
          <w:p w14:paraId="184DCE4F" w14:textId="1BDC88A6" w:rsidR="00464C99" w:rsidRPr="00BC1E43" w:rsidRDefault="00464C99" w:rsidP="00BC1E43">
            <w:pPr>
              <w:rPr>
                <w:sz w:val="24"/>
                <w:szCs w:val="24"/>
                <w:lang w:val="en-GB"/>
              </w:rPr>
            </w:pPr>
            <w:r w:rsidRPr="00BC1E43">
              <w:rPr>
                <w:sz w:val="24"/>
                <w:szCs w:val="24"/>
                <w:lang w:val="en-GB"/>
              </w:rPr>
              <w:t xml:space="preserve">is there any special form for Price /Budget or we </w:t>
            </w:r>
            <w:proofErr w:type="gramStart"/>
            <w:r w:rsidRPr="00BC1E43">
              <w:rPr>
                <w:sz w:val="24"/>
                <w:szCs w:val="24"/>
                <w:lang w:val="en-GB"/>
              </w:rPr>
              <w:t>have to</w:t>
            </w:r>
            <w:proofErr w:type="gramEnd"/>
            <w:r w:rsidRPr="00BC1E43">
              <w:rPr>
                <w:sz w:val="24"/>
                <w:szCs w:val="24"/>
                <w:lang w:val="en-GB"/>
              </w:rPr>
              <w:t xml:space="preserve"> fill in Draft Contract ?</w:t>
            </w:r>
          </w:p>
          <w:p w14:paraId="3BE47C63" w14:textId="77777777" w:rsidR="00464C99" w:rsidRPr="00BC1E43" w:rsidRDefault="00464C99" w:rsidP="00BC1E43">
            <w:pPr>
              <w:rPr>
                <w:sz w:val="24"/>
                <w:szCs w:val="24"/>
                <w:lang w:val="en-GB"/>
              </w:rPr>
            </w:pPr>
          </w:p>
        </w:tc>
        <w:tc>
          <w:tcPr>
            <w:tcW w:w="4819" w:type="dxa"/>
          </w:tcPr>
          <w:p w14:paraId="52D70454" w14:textId="591139EE" w:rsidR="00464C99" w:rsidRPr="00BC1E43" w:rsidRDefault="00464C99">
            <w:pPr>
              <w:rPr>
                <w:sz w:val="24"/>
                <w:szCs w:val="24"/>
                <w:lang w:val="en-GB"/>
              </w:rPr>
            </w:pPr>
            <w:r w:rsidRPr="00BC1E43">
              <w:rPr>
                <w:sz w:val="24"/>
                <w:szCs w:val="24"/>
                <w:lang w:val="en-GB"/>
              </w:rPr>
              <w:t>See Section 6.1 of the Procurement Document -Fees and expenses.</w:t>
            </w:r>
          </w:p>
          <w:p w14:paraId="4784A52D" w14:textId="2FD9605C" w:rsidR="00464C99" w:rsidRPr="00BC1E43" w:rsidRDefault="00464C99">
            <w:pPr>
              <w:rPr>
                <w:sz w:val="24"/>
                <w:szCs w:val="24"/>
                <w:lang w:val="en-GB"/>
              </w:rPr>
            </w:pPr>
            <w:r w:rsidRPr="00BC1E43">
              <w:rPr>
                <w:sz w:val="24"/>
                <w:szCs w:val="24"/>
                <w:lang w:val="en-GB"/>
              </w:rPr>
              <w:t>You should not fill in the draft contract.</w:t>
            </w:r>
          </w:p>
        </w:tc>
      </w:tr>
      <w:tr w:rsidR="00464C99" w:rsidRPr="0060476B" w14:paraId="3BAD0311" w14:textId="77777777" w:rsidTr="00DF03E1">
        <w:tc>
          <w:tcPr>
            <w:tcW w:w="562" w:type="dxa"/>
          </w:tcPr>
          <w:p w14:paraId="68C856BC" w14:textId="6AA43180" w:rsidR="00464C99" w:rsidRPr="006521ED" w:rsidRDefault="00464C99">
            <w:pPr>
              <w:rPr>
                <w:lang w:val="en-GB"/>
              </w:rPr>
            </w:pPr>
            <w:r>
              <w:rPr>
                <w:lang w:val="en-GB"/>
              </w:rPr>
              <w:t>4</w:t>
            </w:r>
          </w:p>
        </w:tc>
        <w:tc>
          <w:tcPr>
            <w:tcW w:w="4962" w:type="dxa"/>
          </w:tcPr>
          <w:p w14:paraId="73AC1EFA" w14:textId="76730C30" w:rsidR="00464C99" w:rsidRPr="00BC1E43" w:rsidRDefault="00464C99" w:rsidP="00BC1E43">
            <w:pPr>
              <w:rPr>
                <w:sz w:val="24"/>
                <w:szCs w:val="24"/>
                <w:lang w:val="en-GB"/>
              </w:rPr>
            </w:pPr>
            <w:r w:rsidRPr="00BC1E43">
              <w:rPr>
                <w:sz w:val="24"/>
                <w:szCs w:val="24"/>
                <w:lang w:val="en-GB"/>
              </w:rPr>
              <w:t>In the draft Contract (Appendix B) there are Appendixes as follows  </w:t>
            </w:r>
          </w:p>
          <w:p w14:paraId="2D2D4FE7" w14:textId="77777777" w:rsidR="00464C99" w:rsidRPr="00BC1E43" w:rsidRDefault="00464C99" w:rsidP="00BC1E43">
            <w:pPr>
              <w:rPr>
                <w:sz w:val="24"/>
                <w:szCs w:val="24"/>
                <w:lang w:val="en-GB"/>
              </w:rPr>
            </w:pPr>
          </w:p>
          <w:p w14:paraId="3E5F1B9F" w14:textId="77777777" w:rsidR="00464C99" w:rsidRPr="00BC1E43" w:rsidRDefault="00464C99" w:rsidP="00BC1E43">
            <w:pPr>
              <w:rPr>
                <w:sz w:val="24"/>
                <w:szCs w:val="24"/>
                <w:lang w:val="en-GB"/>
              </w:rPr>
            </w:pPr>
            <w:r w:rsidRPr="00BC1E43">
              <w:rPr>
                <w:sz w:val="24"/>
                <w:szCs w:val="24"/>
                <w:lang w:val="en-GB"/>
              </w:rPr>
              <w:t xml:space="preserve">"- </w:t>
            </w:r>
            <w:proofErr w:type="spellStart"/>
            <w:r w:rsidRPr="00BC1E43">
              <w:rPr>
                <w:sz w:val="24"/>
                <w:szCs w:val="24"/>
                <w:lang w:val="en-GB"/>
              </w:rPr>
              <w:t>Sida’s</w:t>
            </w:r>
            <w:proofErr w:type="spellEnd"/>
            <w:r w:rsidRPr="00BC1E43">
              <w:rPr>
                <w:sz w:val="24"/>
                <w:szCs w:val="24"/>
                <w:lang w:val="en-GB"/>
              </w:rPr>
              <w:t xml:space="preserve"> General Conditions for Framework Agreements and Contracts, Appendix A</w:t>
            </w:r>
          </w:p>
          <w:p w14:paraId="61B38045" w14:textId="77777777" w:rsidR="00464C99" w:rsidRPr="00BC1E43" w:rsidRDefault="00464C99" w:rsidP="00BC1E43">
            <w:pPr>
              <w:rPr>
                <w:sz w:val="24"/>
                <w:szCs w:val="24"/>
                <w:lang w:val="en-GB"/>
              </w:rPr>
            </w:pPr>
            <w:r w:rsidRPr="00BC1E43">
              <w:rPr>
                <w:sz w:val="24"/>
                <w:szCs w:val="24"/>
                <w:lang w:val="en-GB"/>
              </w:rPr>
              <w:t>- Terms of Reference, Appendix B</w:t>
            </w:r>
            <w:r w:rsidRPr="00BC1E43">
              <w:rPr>
                <w:sz w:val="24"/>
                <w:szCs w:val="24"/>
                <w:lang w:val="en-GB"/>
              </w:rPr>
              <w:br/>
              <w:t>- Price and possible budget, Appendix C</w:t>
            </w:r>
            <w:r w:rsidRPr="00BC1E43">
              <w:rPr>
                <w:sz w:val="24"/>
                <w:szCs w:val="24"/>
                <w:lang w:val="en-GB"/>
              </w:rPr>
              <w:br/>
              <w:t>- Core team/consultants, Appendix D</w:t>
            </w:r>
          </w:p>
          <w:p w14:paraId="3E4CCB48" w14:textId="77777777" w:rsidR="00464C99" w:rsidRPr="00BC1E43" w:rsidRDefault="00464C99" w:rsidP="00BC1E43">
            <w:pPr>
              <w:rPr>
                <w:sz w:val="24"/>
                <w:szCs w:val="24"/>
                <w:lang w:val="en-GB"/>
              </w:rPr>
            </w:pPr>
            <w:r w:rsidRPr="00BC1E43">
              <w:rPr>
                <w:sz w:val="24"/>
                <w:szCs w:val="24"/>
                <w:lang w:val="en-GB"/>
              </w:rPr>
              <w:t>- Terms of Reference for annual audit, Appendix E"</w:t>
            </w:r>
          </w:p>
          <w:p w14:paraId="0490548C" w14:textId="3343E2C9" w:rsidR="00464C99" w:rsidRPr="00BC1E43" w:rsidRDefault="00464C99" w:rsidP="00BC1E43">
            <w:pPr>
              <w:rPr>
                <w:sz w:val="24"/>
                <w:szCs w:val="24"/>
                <w:lang w:val="en-GB"/>
              </w:rPr>
            </w:pPr>
            <w:r w:rsidRPr="00BC1E43">
              <w:rPr>
                <w:sz w:val="24"/>
                <w:szCs w:val="24"/>
                <w:lang w:val="en-GB"/>
              </w:rPr>
              <w:t xml:space="preserve">But Appendix B are </w:t>
            </w:r>
            <w:proofErr w:type="spellStart"/>
            <w:r w:rsidRPr="00BC1E43">
              <w:rPr>
                <w:sz w:val="24"/>
                <w:szCs w:val="24"/>
                <w:lang w:val="en-GB"/>
              </w:rPr>
              <w:t>ToRs</w:t>
            </w:r>
            <w:proofErr w:type="spellEnd"/>
            <w:r w:rsidRPr="00BC1E43">
              <w:rPr>
                <w:sz w:val="24"/>
                <w:szCs w:val="24"/>
                <w:lang w:val="en-GB"/>
              </w:rPr>
              <w:t xml:space="preserve"> above </w:t>
            </w:r>
            <w:proofErr w:type="gramStart"/>
            <w:r w:rsidRPr="00BC1E43">
              <w:rPr>
                <w:sz w:val="24"/>
                <w:szCs w:val="24"/>
                <w:lang w:val="en-GB"/>
              </w:rPr>
              <w:t>here</w:t>
            </w:r>
            <w:proofErr w:type="gramEnd"/>
            <w:r w:rsidRPr="00BC1E43">
              <w:rPr>
                <w:sz w:val="24"/>
                <w:szCs w:val="24"/>
                <w:lang w:val="en-GB"/>
              </w:rPr>
              <w:t xml:space="preserve"> but Tors are Appendix A in the tender Docs</w:t>
            </w:r>
          </w:p>
          <w:p w14:paraId="68B453F2" w14:textId="77777777" w:rsidR="00464C99" w:rsidRPr="00BC1E43" w:rsidRDefault="00464C99" w:rsidP="00BC1E43">
            <w:pPr>
              <w:rPr>
                <w:sz w:val="24"/>
                <w:szCs w:val="24"/>
                <w:lang w:val="en-GB"/>
              </w:rPr>
            </w:pPr>
          </w:p>
        </w:tc>
        <w:tc>
          <w:tcPr>
            <w:tcW w:w="4819" w:type="dxa"/>
          </w:tcPr>
          <w:p w14:paraId="69054919" w14:textId="331AD25A" w:rsidR="00464C99" w:rsidRPr="00BC1E43" w:rsidRDefault="00464C99">
            <w:pPr>
              <w:rPr>
                <w:sz w:val="24"/>
                <w:szCs w:val="24"/>
                <w:lang w:val="en-GB"/>
              </w:rPr>
            </w:pPr>
            <w:r w:rsidRPr="00BC1E43">
              <w:rPr>
                <w:sz w:val="24"/>
                <w:szCs w:val="24"/>
                <w:lang w:val="en-GB"/>
              </w:rPr>
              <w:t>Indeed, the Terms of Reference are included as Appendix A in the Tender Documents and the same Terms of reference will be included as Appendix B of the eventual contract.</w:t>
            </w:r>
          </w:p>
        </w:tc>
      </w:tr>
      <w:tr w:rsidR="00464C99" w:rsidRPr="0060476B" w14:paraId="17C19D47" w14:textId="77777777" w:rsidTr="00DF03E1">
        <w:tc>
          <w:tcPr>
            <w:tcW w:w="562" w:type="dxa"/>
          </w:tcPr>
          <w:p w14:paraId="5DD5EF65" w14:textId="645196ED" w:rsidR="00464C99" w:rsidRDefault="00464C99">
            <w:pPr>
              <w:rPr>
                <w:lang w:val="en-GB"/>
              </w:rPr>
            </w:pPr>
            <w:r>
              <w:rPr>
                <w:lang w:val="en-GB"/>
              </w:rPr>
              <w:t>5</w:t>
            </w:r>
          </w:p>
        </w:tc>
        <w:tc>
          <w:tcPr>
            <w:tcW w:w="4962" w:type="dxa"/>
          </w:tcPr>
          <w:p w14:paraId="498452BA" w14:textId="77777777" w:rsidR="00464C99" w:rsidRPr="007845B3" w:rsidRDefault="00464C99" w:rsidP="00005DB4">
            <w:pPr>
              <w:rPr>
                <w:rFonts w:eastAsia="Times New Roman"/>
                <w:lang w:val="en-US"/>
              </w:rPr>
            </w:pPr>
            <w:r w:rsidRPr="00005DB4">
              <w:rPr>
                <w:rFonts w:eastAsia="Times New Roman"/>
                <w:b/>
                <w:bCs/>
                <w:lang w:val="en-GB"/>
                <w14:ligatures w14:val="none"/>
              </w:rPr>
              <w:t xml:space="preserve">What is the exact deadline for submission? </w:t>
            </w:r>
          </w:p>
          <w:p w14:paraId="74667672" w14:textId="77777777" w:rsidR="00464C99" w:rsidRPr="007845B3" w:rsidRDefault="00464C99" w:rsidP="005C5CC1">
            <w:pPr>
              <w:pStyle w:val="Default"/>
              <w:rPr>
                <w:lang w:val="en-US"/>
              </w:rPr>
            </w:pPr>
            <w:r>
              <w:rPr>
                <w:rFonts w:ascii="Calibri" w:hAnsi="Calibri" w:cs="Calibri"/>
                <w:sz w:val="22"/>
                <w:szCs w:val="22"/>
                <w:lang w:val="en-GB"/>
              </w:rPr>
              <w:t>In the Procurement Document (page 1) it is mentioned that “</w:t>
            </w:r>
            <w:r>
              <w:rPr>
                <w:rFonts w:ascii="Calibri" w:hAnsi="Calibri" w:cs="Calibri"/>
                <w:i/>
                <w:iCs/>
                <w:sz w:val="22"/>
                <w:szCs w:val="22"/>
                <w:lang w:val="en-GB"/>
              </w:rPr>
              <w:t>Tenders must be submitted […] no later than 15 January 2024 @ 11:59:59 local time (Tirana)”</w:t>
            </w:r>
            <w:r>
              <w:rPr>
                <w:rFonts w:ascii="Calibri" w:hAnsi="Calibri" w:cs="Calibri"/>
                <w:sz w:val="22"/>
                <w:szCs w:val="22"/>
                <w:lang w:val="en-GB"/>
              </w:rPr>
              <w:t>, while on page 5 of the same document it is mentioned that “</w:t>
            </w:r>
            <w:r>
              <w:rPr>
                <w:rFonts w:ascii="Calibri" w:hAnsi="Calibri" w:cs="Calibri"/>
                <w:i/>
                <w:iCs/>
                <w:sz w:val="22"/>
                <w:szCs w:val="22"/>
                <w:lang w:val="en-GB"/>
              </w:rPr>
              <w:t xml:space="preserve">The tender shall be submitted electronically via e-mail to </w:t>
            </w:r>
            <w:hyperlink r:id="rId5" w:history="1">
              <w:r>
                <w:rPr>
                  <w:rStyle w:val="Hyperlink"/>
                  <w:rFonts w:ascii="Calibri" w:hAnsi="Calibri" w:cs="Calibri"/>
                  <w:i/>
                  <w:iCs/>
                  <w:sz w:val="22"/>
                  <w:szCs w:val="22"/>
                  <w:lang w:val="en-GB"/>
                </w:rPr>
                <w:t>ambassaden.tirana@gov.se</w:t>
              </w:r>
            </w:hyperlink>
            <w:r>
              <w:rPr>
                <w:rFonts w:ascii="Calibri" w:hAnsi="Calibri" w:cs="Calibri"/>
                <w:i/>
                <w:iCs/>
                <w:sz w:val="22"/>
                <w:szCs w:val="22"/>
                <w:lang w:val="en-GB"/>
              </w:rPr>
              <w:t xml:space="preserve"> no later than 15 January 2024 at 23:59:59 local time</w:t>
            </w:r>
            <w:r>
              <w:rPr>
                <w:rFonts w:ascii="Calibri" w:hAnsi="Calibri" w:cs="Calibri"/>
                <w:sz w:val="22"/>
                <w:szCs w:val="22"/>
                <w:lang w:val="en-GB"/>
              </w:rPr>
              <w:t>”.</w:t>
            </w:r>
          </w:p>
          <w:p w14:paraId="19DADB31" w14:textId="77777777" w:rsidR="00464C99" w:rsidRPr="007845B3" w:rsidRDefault="00464C99" w:rsidP="005C5CC1">
            <w:pPr>
              <w:pStyle w:val="Default"/>
              <w:rPr>
                <w:lang w:val="en-US"/>
              </w:rPr>
            </w:pPr>
            <w:r>
              <w:rPr>
                <w:rFonts w:ascii="Calibri" w:hAnsi="Calibri" w:cs="Calibri"/>
                <w:sz w:val="22"/>
                <w:szCs w:val="22"/>
                <w:lang w:val="en-GB"/>
              </w:rPr>
              <w:t> </w:t>
            </w:r>
          </w:p>
          <w:p w14:paraId="7C17B04D" w14:textId="77777777" w:rsidR="00464C99" w:rsidRPr="007845B3" w:rsidRDefault="00464C99" w:rsidP="005C5CC1">
            <w:pPr>
              <w:pStyle w:val="Default"/>
              <w:numPr>
                <w:ilvl w:val="0"/>
                <w:numId w:val="2"/>
              </w:numPr>
              <w:rPr>
                <w:rFonts w:eastAsia="Times New Roman"/>
                <w:lang w:val="en-US"/>
              </w:rPr>
            </w:pPr>
            <w:r>
              <w:rPr>
                <w:rFonts w:ascii="Calibri" w:eastAsia="Times New Roman" w:hAnsi="Calibri" w:cs="Calibri"/>
                <w:sz w:val="22"/>
                <w:szCs w:val="22"/>
                <w:lang w:val="en-GB"/>
              </w:rPr>
              <w:t>Could you please clarify the exact deadline?</w:t>
            </w:r>
          </w:p>
          <w:p w14:paraId="734DD705" w14:textId="77777777" w:rsidR="00464C99" w:rsidRPr="007845B3" w:rsidRDefault="00464C99" w:rsidP="00266E84">
            <w:pPr>
              <w:pStyle w:val="elementtoproof"/>
              <w:rPr>
                <w:color w:val="000000"/>
                <w:sz w:val="24"/>
                <w:szCs w:val="24"/>
                <w:lang w:val="en-US"/>
              </w:rPr>
            </w:pPr>
          </w:p>
        </w:tc>
        <w:tc>
          <w:tcPr>
            <w:tcW w:w="4819" w:type="dxa"/>
          </w:tcPr>
          <w:p w14:paraId="319E45DF" w14:textId="77777777" w:rsidR="00C610CD" w:rsidRDefault="00464C99">
            <w:pPr>
              <w:rPr>
                <w:rFonts w:ascii="Calibri" w:hAnsi="Calibri" w:cs="Calibri"/>
                <w:b/>
                <w:bCs/>
                <w:lang w:val="en-GB"/>
              </w:rPr>
            </w:pPr>
            <w:r>
              <w:rPr>
                <w:lang w:val="en-GB"/>
              </w:rPr>
              <w:t>For the avoidance of doubt the deadline for submission</w:t>
            </w:r>
            <w:r w:rsidR="00C610CD">
              <w:rPr>
                <w:lang w:val="en-GB"/>
              </w:rPr>
              <w:t xml:space="preserve"> was </w:t>
            </w:r>
            <w:r>
              <w:rPr>
                <w:lang w:val="en-GB"/>
              </w:rPr>
              <w:t xml:space="preserve"> </w:t>
            </w:r>
            <w:r w:rsidR="00C610CD" w:rsidRPr="007C4FB2">
              <w:rPr>
                <w:b/>
                <w:bCs/>
                <w:lang w:val="en-GB"/>
              </w:rPr>
              <w:t xml:space="preserve">as </w:t>
            </w:r>
            <w:r w:rsidR="00C610CD" w:rsidRPr="007C4FB2">
              <w:rPr>
                <w:rFonts w:ascii="Calibri" w:hAnsi="Calibri" w:cs="Calibri"/>
                <w:b/>
                <w:bCs/>
                <w:i/>
                <w:iCs/>
                <w:lang w:val="en-GB"/>
              </w:rPr>
              <w:t>no later than 15 January 2024 at 23:59:59 local time</w:t>
            </w:r>
            <w:r w:rsidR="00C610CD" w:rsidRPr="007C4FB2">
              <w:rPr>
                <w:rFonts w:ascii="Calibri" w:hAnsi="Calibri" w:cs="Calibri"/>
                <w:b/>
                <w:bCs/>
                <w:lang w:val="en-GB"/>
              </w:rPr>
              <w:t>”.</w:t>
            </w:r>
          </w:p>
          <w:p w14:paraId="0C3ED926" w14:textId="4463143F" w:rsidR="00464C99" w:rsidRPr="006521ED" w:rsidRDefault="00C610CD">
            <w:pPr>
              <w:rPr>
                <w:lang w:val="en-GB"/>
              </w:rPr>
            </w:pPr>
            <w:r>
              <w:rPr>
                <w:rFonts w:ascii="Calibri" w:hAnsi="Calibri" w:cs="Calibri"/>
                <w:b/>
                <w:bCs/>
                <w:lang w:val="en-GB"/>
              </w:rPr>
              <w:t xml:space="preserve"> However, please note that due to </w:t>
            </w:r>
            <w:r w:rsidR="00AF18F8">
              <w:rPr>
                <w:rFonts w:ascii="Calibri" w:hAnsi="Calibri" w:cs="Calibri"/>
                <w:b/>
                <w:bCs/>
                <w:lang w:val="en-GB"/>
              </w:rPr>
              <w:t xml:space="preserve">a </w:t>
            </w:r>
            <w:r w:rsidR="00A77C7F">
              <w:rPr>
                <w:rFonts w:ascii="Calibri" w:hAnsi="Calibri" w:cs="Calibri"/>
                <w:b/>
                <w:bCs/>
                <w:lang w:val="en-GB"/>
              </w:rPr>
              <w:t xml:space="preserve">request the deadline is extended and </w:t>
            </w:r>
            <w:r w:rsidR="00021AF4">
              <w:rPr>
                <w:lang w:val="en-GB"/>
              </w:rPr>
              <w:t xml:space="preserve">now </w:t>
            </w:r>
            <w:r w:rsidR="00464C99">
              <w:rPr>
                <w:lang w:val="en-GB"/>
              </w:rPr>
              <w:t xml:space="preserve">confirmed </w:t>
            </w:r>
            <w:r w:rsidR="00464C99" w:rsidRPr="007C4FB2">
              <w:rPr>
                <w:b/>
                <w:bCs/>
                <w:lang w:val="en-GB"/>
              </w:rPr>
              <w:t xml:space="preserve">as </w:t>
            </w:r>
            <w:r w:rsidR="00464C99" w:rsidRPr="007C4FB2">
              <w:rPr>
                <w:rFonts w:ascii="Calibri" w:hAnsi="Calibri" w:cs="Calibri"/>
                <w:b/>
                <w:bCs/>
                <w:i/>
                <w:iCs/>
                <w:lang w:val="en-GB"/>
              </w:rPr>
              <w:t xml:space="preserve">no later than </w:t>
            </w:r>
            <w:r w:rsidR="009E25BE">
              <w:rPr>
                <w:rFonts w:ascii="Calibri" w:hAnsi="Calibri" w:cs="Calibri"/>
                <w:b/>
                <w:bCs/>
                <w:i/>
                <w:iCs/>
                <w:lang w:val="en-GB"/>
              </w:rPr>
              <w:t>22</w:t>
            </w:r>
            <w:r w:rsidR="00464C99" w:rsidRPr="007C4FB2">
              <w:rPr>
                <w:rFonts w:ascii="Calibri" w:hAnsi="Calibri" w:cs="Calibri"/>
                <w:b/>
                <w:bCs/>
                <w:i/>
                <w:iCs/>
                <w:lang w:val="en-GB"/>
              </w:rPr>
              <w:t xml:space="preserve"> January </w:t>
            </w:r>
            <w:r w:rsidR="00464C99" w:rsidRPr="00B73259">
              <w:rPr>
                <w:rFonts w:ascii="Calibri" w:hAnsi="Calibri" w:cs="Calibri"/>
                <w:b/>
                <w:bCs/>
                <w:i/>
                <w:iCs/>
                <w:lang w:val="en-GB"/>
              </w:rPr>
              <w:t xml:space="preserve">2024 </w:t>
            </w:r>
            <w:r>
              <w:rPr>
                <w:rFonts w:ascii="Calibri" w:hAnsi="Calibri" w:cs="Calibri"/>
                <w:b/>
                <w:bCs/>
                <w:i/>
                <w:iCs/>
                <w:lang w:val="en-GB"/>
              </w:rPr>
              <w:t>23</w:t>
            </w:r>
            <w:r w:rsidR="00B73259" w:rsidRPr="00B73259">
              <w:rPr>
                <w:rFonts w:ascii="Calibri" w:hAnsi="Calibri" w:cs="Calibri"/>
                <w:b/>
                <w:bCs/>
                <w:i/>
                <w:iCs/>
                <w:lang w:val="en-GB"/>
              </w:rPr>
              <w:t>:59:59</w:t>
            </w:r>
            <w:r w:rsidR="00B73259">
              <w:rPr>
                <w:rFonts w:ascii="Calibri" w:hAnsi="Calibri" w:cs="Calibri"/>
                <w:b/>
                <w:bCs/>
                <w:i/>
                <w:iCs/>
                <w:lang w:val="en-GB"/>
              </w:rPr>
              <w:t xml:space="preserve"> </w:t>
            </w:r>
            <w:r w:rsidR="00464C99" w:rsidRPr="00B73259">
              <w:rPr>
                <w:rFonts w:ascii="Calibri" w:hAnsi="Calibri" w:cs="Calibri"/>
                <w:b/>
                <w:bCs/>
                <w:i/>
                <w:iCs/>
                <w:lang w:val="en-GB"/>
              </w:rPr>
              <w:t>local</w:t>
            </w:r>
            <w:r w:rsidR="00464C99" w:rsidRPr="007C4FB2">
              <w:rPr>
                <w:rFonts w:ascii="Calibri" w:hAnsi="Calibri" w:cs="Calibri"/>
                <w:b/>
                <w:bCs/>
                <w:i/>
                <w:iCs/>
                <w:lang w:val="en-GB"/>
              </w:rPr>
              <w:t xml:space="preserve"> time</w:t>
            </w:r>
            <w:r w:rsidR="00464C99" w:rsidRPr="007C4FB2">
              <w:rPr>
                <w:rFonts w:ascii="Calibri" w:hAnsi="Calibri" w:cs="Calibri"/>
                <w:b/>
                <w:bCs/>
                <w:lang w:val="en-GB"/>
              </w:rPr>
              <w:t>”.</w:t>
            </w:r>
          </w:p>
        </w:tc>
      </w:tr>
      <w:tr w:rsidR="00464C99" w:rsidRPr="0060476B" w14:paraId="12A0B9E5" w14:textId="77777777" w:rsidTr="00DF03E1">
        <w:tc>
          <w:tcPr>
            <w:tcW w:w="562" w:type="dxa"/>
          </w:tcPr>
          <w:p w14:paraId="31D04D33" w14:textId="2917E1DC" w:rsidR="00464C99" w:rsidRDefault="00464C99">
            <w:pPr>
              <w:rPr>
                <w:lang w:val="en-GB"/>
              </w:rPr>
            </w:pPr>
            <w:r>
              <w:rPr>
                <w:lang w:val="en-GB"/>
              </w:rPr>
              <w:t>6</w:t>
            </w:r>
          </w:p>
        </w:tc>
        <w:tc>
          <w:tcPr>
            <w:tcW w:w="4962" w:type="dxa"/>
          </w:tcPr>
          <w:p w14:paraId="08EBFD2D" w14:textId="77777777" w:rsidR="00464C99" w:rsidRPr="007845B3" w:rsidRDefault="00464C99" w:rsidP="00005DB4">
            <w:pPr>
              <w:rPr>
                <w:rFonts w:eastAsia="Times New Roman"/>
                <w:lang w:val="en-US"/>
              </w:rPr>
            </w:pPr>
            <w:r w:rsidRPr="00005DB4">
              <w:rPr>
                <w:rFonts w:eastAsia="Times New Roman"/>
                <w:b/>
                <w:bCs/>
                <w:lang w:val="en-GB"/>
                <w14:ligatures w14:val="none"/>
              </w:rPr>
              <w:t>Personal references:</w:t>
            </w:r>
          </w:p>
          <w:p w14:paraId="605C6862" w14:textId="77777777" w:rsidR="00464C99" w:rsidRPr="007845B3" w:rsidRDefault="00464C99" w:rsidP="009E7FA7">
            <w:pPr>
              <w:pStyle w:val="Default"/>
              <w:rPr>
                <w:lang w:val="en-US"/>
              </w:rPr>
            </w:pPr>
            <w:r>
              <w:rPr>
                <w:rFonts w:ascii="Calibri" w:hAnsi="Calibri" w:cs="Calibri"/>
                <w:sz w:val="22"/>
                <w:szCs w:val="22"/>
                <w:lang w:val="en-GB"/>
              </w:rPr>
              <w:t xml:space="preserve">In section 4.7 of the Procurement Document (p.26) it is mentioned that: </w:t>
            </w:r>
            <w:r>
              <w:rPr>
                <w:rFonts w:ascii="Calibri" w:hAnsi="Calibri" w:cs="Calibri"/>
                <w:i/>
                <w:iCs/>
                <w:sz w:val="22"/>
                <w:szCs w:val="22"/>
                <w:lang w:val="en-GB"/>
              </w:rPr>
              <w:t xml:space="preserve">“The tenderer shall submit in its tender at least two reference assignments within a relevant area </w:t>
            </w:r>
            <w:r>
              <w:rPr>
                <w:rFonts w:ascii="Calibri" w:hAnsi="Calibri" w:cs="Calibri"/>
                <w:b/>
                <w:bCs/>
                <w:i/>
                <w:iCs/>
                <w:sz w:val="22"/>
                <w:szCs w:val="22"/>
                <w:u w:val="single"/>
                <w:lang w:val="en-GB"/>
              </w:rPr>
              <w:t>or</w:t>
            </w:r>
            <w:r>
              <w:rPr>
                <w:rFonts w:ascii="Calibri" w:hAnsi="Calibri" w:cs="Calibri"/>
                <w:i/>
                <w:iCs/>
                <w:sz w:val="22"/>
                <w:szCs w:val="22"/>
                <w:lang w:val="en-GB"/>
              </w:rPr>
              <w:t xml:space="preserve"> specific experience for each of the proposed team members. The person must have completed the reference assignment within no more than five years (calculated from the closing date).”</w:t>
            </w:r>
          </w:p>
          <w:p w14:paraId="541D6AEA" w14:textId="77777777" w:rsidR="00464C99" w:rsidRPr="007845B3" w:rsidRDefault="00464C99" w:rsidP="009E7FA7">
            <w:pPr>
              <w:pStyle w:val="Default"/>
              <w:rPr>
                <w:lang w:val="en-US"/>
              </w:rPr>
            </w:pPr>
            <w:r>
              <w:rPr>
                <w:rFonts w:ascii="Calibri" w:hAnsi="Calibri" w:cs="Calibri"/>
                <w:sz w:val="22"/>
                <w:szCs w:val="22"/>
                <w:lang w:val="en-GB"/>
              </w:rPr>
              <w:t> </w:t>
            </w:r>
          </w:p>
          <w:p w14:paraId="079B81C1" w14:textId="77777777" w:rsidR="00464C99" w:rsidRPr="007845B3" w:rsidRDefault="00464C99" w:rsidP="009E7FA7">
            <w:pPr>
              <w:pStyle w:val="Default"/>
              <w:numPr>
                <w:ilvl w:val="0"/>
                <w:numId w:val="3"/>
              </w:numPr>
              <w:rPr>
                <w:rFonts w:eastAsia="Times New Roman"/>
                <w:lang w:val="en-US"/>
              </w:rPr>
            </w:pPr>
            <w:r>
              <w:rPr>
                <w:rFonts w:ascii="Calibri" w:eastAsia="Times New Roman" w:hAnsi="Calibri" w:cs="Calibri"/>
                <w:sz w:val="22"/>
                <w:szCs w:val="22"/>
                <w:lang w:val="en-GB"/>
              </w:rPr>
              <w:t xml:space="preserve">Our understanding is that it is requested to submit </w:t>
            </w:r>
            <w:r>
              <w:rPr>
                <w:rFonts w:ascii="Calibri" w:eastAsia="Times New Roman" w:hAnsi="Calibri" w:cs="Calibri"/>
                <w:sz w:val="22"/>
                <w:szCs w:val="22"/>
                <w:u w:val="single"/>
                <w:lang w:val="en-GB"/>
              </w:rPr>
              <w:t>either</w:t>
            </w:r>
            <w:r>
              <w:rPr>
                <w:rFonts w:ascii="Calibri" w:eastAsia="Times New Roman" w:hAnsi="Calibri" w:cs="Calibri"/>
                <w:sz w:val="22"/>
                <w:szCs w:val="22"/>
                <w:lang w:val="en-GB"/>
              </w:rPr>
              <w:t xml:space="preserve"> 2 reference assignments belonging to the tendering company, </w:t>
            </w:r>
            <w:r>
              <w:rPr>
                <w:rFonts w:ascii="Calibri" w:eastAsia="Times New Roman" w:hAnsi="Calibri" w:cs="Calibri"/>
                <w:sz w:val="22"/>
                <w:szCs w:val="22"/>
                <w:u w:val="single"/>
                <w:lang w:val="en-GB"/>
              </w:rPr>
              <w:t>or</w:t>
            </w:r>
            <w:r>
              <w:rPr>
                <w:rFonts w:ascii="Calibri" w:eastAsia="Times New Roman" w:hAnsi="Calibri" w:cs="Calibri"/>
                <w:sz w:val="22"/>
                <w:szCs w:val="22"/>
                <w:lang w:val="en-GB"/>
              </w:rPr>
              <w:t xml:space="preserve"> specific experience assignments for each of the proposed team </w:t>
            </w:r>
            <w:proofErr w:type="gramStart"/>
            <w:r>
              <w:rPr>
                <w:rFonts w:ascii="Calibri" w:eastAsia="Times New Roman" w:hAnsi="Calibri" w:cs="Calibri"/>
                <w:sz w:val="22"/>
                <w:szCs w:val="22"/>
                <w:lang w:val="en-GB"/>
              </w:rPr>
              <w:t>members?</w:t>
            </w:r>
            <w:proofErr w:type="gramEnd"/>
          </w:p>
          <w:p w14:paraId="73CD8E6B" w14:textId="77777777" w:rsidR="00464C99" w:rsidRPr="007845B3" w:rsidRDefault="00464C99" w:rsidP="009E7FA7">
            <w:pPr>
              <w:pStyle w:val="Default"/>
              <w:numPr>
                <w:ilvl w:val="0"/>
                <w:numId w:val="3"/>
              </w:numPr>
              <w:rPr>
                <w:rFonts w:eastAsia="Times New Roman"/>
                <w:lang w:val="en-US"/>
              </w:rPr>
            </w:pPr>
            <w:r>
              <w:rPr>
                <w:rFonts w:ascii="Calibri" w:eastAsia="Times New Roman" w:hAnsi="Calibri" w:cs="Calibri"/>
                <w:sz w:val="22"/>
                <w:szCs w:val="22"/>
                <w:lang w:val="en-GB"/>
              </w:rPr>
              <w:t>Or do you mean that for each team member (4), the tenderer has two submit 2 personal references completed by each of them within the last 5-year period?</w:t>
            </w:r>
          </w:p>
          <w:p w14:paraId="2FDD9FC0" w14:textId="77777777" w:rsidR="00464C99" w:rsidRPr="007845B3" w:rsidRDefault="00464C99" w:rsidP="009E7FA7">
            <w:pPr>
              <w:pStyle w:val="Default"/>
              <w:numPr>
                <w:ilvl w:val="0"/>
                <w:numId w:val="3"/>
              </w:numPr>
              <w:rPr>
                <w:rFonts w:eastAsia="Times New Roman"/>
                <w:lang w:val="en-US"/>
              </w:rPr>
            </w:pPr>
            <w:r>
              <w:rPr>
                <w:rFonts w:ascii="Calibri" w:eastAsia="Times New Roman" w:hAnsi="Calibri" w:cs="Calibri"/>
                <w:sz w:val="22"/>
                <w:szCs w:val="22"/>
                <w:lang w:val="en-GB"/>
              </w:rPr>
              <w:t xml:space="preserve">If the latter, it would mean that a team member who has worked full-time on only 1 assignment in that whole </w:t>
            </w:r>
            <w:proofErr w:type="gramStart"/>
            <w:r>
              <w:rPr>
                <w:rFonts w:ascii="Calibri" w:eastAsia="Times New Roman" w:hAnsi="Calibri" w:cs="Calibri"/>
                <w:sz w:val="22"/>
                <w:szCs w:val="22"/>
                <w:lang w:val="en-GB"/>
              </w:rPr>
              <w:t>period of time</w:t>
            </w:r>
            <w:proofErr w:type="gramEnd"/>
            <w:r>
              <w:rPr>
                <w:rFonts w:ascii="Calibri" w:eastAsia="Times New Roman" w:hAnsi="Calibri" w:cs="Calibri"/>
                <w:sz w:val="22"/>
                <w:szCs w:val="22"/>
                <w:lang w:val="en-GB"/>
              </w:rPr>
              <w:t xml:space="preserve"> would not qualify. </w:t>
            </w:r>
          </w:p>
          <w:p w14:paraId="64464C69" w14:textId="77777777" w:rsidR="00464C99" w:rsidRPr="007845B3" w:rsidRDefault="00464C99" w:rsidP="009E7FA7">
            <w:pPr>
              <w:pStyle w:val="Default"/>
              <w:rPr>
                <w:lang w:val="en-US"/>
              </w:rPr>
            </w:pPr>
            <w:r>
              <w:rPr>
                <w:rFonts w:ascii="Calibri" w:hAnsi="Calibri" w:cs="Calibri"/>
                <w:sz w:val="22"/>
                <w:szCs w:val="22"/>
                <w:lang w:val="en-GB"/>
              </w:rPr>
              <w:t> </w:t>
            </w:r>
          </w:p>
          <w:p w14:paraId="1F2E6337" w14:textId="77777777" w:rsidR="00464C99" w:rsidRPr="007845B3" w:rsidRDefault="00464C99" w:rsidP="00266E84">
            <w:pPr>
              <w:pStyle w:val="elementtoproof"/>
              <w:rPr>
                <w:color w:val="000000"/>
                <w:sz w:val="24"/>
                <w:szCs w:val="24"/>
                <w:lang w:val="en-US"/>
              </w:rPr>
            </w:pPr>
          </w:p>
        </w:tc>
        <w:tc>
          <w:tcPr>
            <w:tcW w:w="4819" w:type="dxa"/>
          </w:tcPr>
          <w:p w14:paraId="21D009CA" w14:textId="073C9DEB" w:rsidR="00464C99" w:rsidRDefault="00464C99">
            <w:pPr>
              <w:rPr>
                <w:lang w:val="en-GB"/>
              </w:rPr>
            </w:pPr>
            <w:r>
              <w:rPr>
                <w:lang w:val="en-GB"/>
              </w:rPr>
              <w:t>The requirements under section 4.7 concern reference assignments belonging to the experts, not to the tendering company.</w:t>
            </w:r>
          </w:p>
          <w:p w14:paraId="318A50B4" w14:textId="77777777" w:rsidR="00464C99" w:rsidRDefault="00464C99">
            <w:pPr>
              <w:rPr>
                <w:lang w:val="en-GB"/>
              </w:rPr>
            </w:pPr>
          </w:p>
          <w:p w14:paraId="550E4872" w14:textId="77777777" w:rsidR="00464C99" w:rsidRDefault="00464C99">
            <w:pPr>
              <w:rPr>
                <w:lang w:val="en-GB" w:bidi="en-GB"/>
              </w:rPr>
            </w:pPr>
            <w:r>
              <w:rPr>
                <w:lang w:val="en-GB"/>
              </w:rPr>
              <w:t xml:space="preserve">The requirements for the tendering company are defined in section 3.7.3 </w:t>
            </w:r>
            <w:r w:rsidRPr="00657AB7">
              <w:rPr>
                <w:lang w:val="en-GB"/>
              </w:rPr>
              <w:t xml:space="preserve">Technical and professional ability </w:t>
            </w:r>
            <w:r>
              <w:rPr>
                <w:lang w:val="en-GB"/>
              </w:rPr>
              <w:t>- “</w:t>
            </w:r>
            <w:r>
              <w:rPr>
                <w:lang w:val="en-GB" w:bidi="en-GB"/>
              </w:rPr>
              <w:t xml:space="preserve">At the request of the Embassy, the tenderer shall submit at least three reference assignments carried out in the </w:t>
            </w:r>
            <w:r w:rsidRPr="00544932">
              <w:rPr>
                <w:lang w:val="en-GB" w:bidi="en-GB"/>
              </w:rPr>
              <w:t>past ten years</w:t>
            </w:r>
            <w:r>
              <w:rPr>
                <w:lang w:val="en-GB" w:bidi="en-GB"/>
              </w:rPr>
              <w:t>, and which correspond to the nature and scope of this procurement, at least one of which</w:t>
            </w:r>
            <w:r w:rsidRPr="00544932">
              <w:rPr>
                <w:lang w:val="en-GB" w:bidi="en-GB"/>
              </w:rPr>
              <w:t xml:space="preserve"> must </w:t>
            </w:r>
            <w:r>
              <w:rPr>
                <w:lang w:val="en-GB" w:bidi="en-GB"/>
              </w:rPr>
              <w:t>be for similar</w:t>
            </w:r>
            <w:r w:rsidRPr="00544932">
              <w:rPr>
                <w:lang w:val="en-GB" w:bidi="en-GB"/>
              </w:rPr>
              <w:t xml:space="preserve"> work in the Western Balkan region</w:t>
            </w:r>
            <w:r>
              <w:rPr>
                <w:lang w:val="en-GB" w:bidi="en-GB"/>
              </w:rPr>
              <w:t>.”</w:t>
            </w:r>
          </w:p>
          <w:p w14:paraId="51A0E59C" w14:textId="56D41BD9" w:rsidR="00464C99" w:rsidRPr="006521ED" w:rsidRDefault="00464C99">
            <w:pPr>
              <w:rPr>
                <w:lang w:val="en-GB"/>
              </w:rPr>
            </w:pPr>
            <w:r>
              <w:rPr>
                <w:lang w:val="en-GB" w:bidi="en-GB"/>
              </w:rPr>
              <w:t>For the experts - If a team member had not completed two assignments in the last five years because he had worked continually on one relevant assignment then this one assignment would be adequate to meet the reference requirements.</w:t>
            </w:r>
          </w:p>
        </w:tc>
      </w:tr>
      <w:tr w:rsidR="00464C99" w:rsidRPr="0060476B" w14:paraId="24EC3935" w14:textId="77777777" w:rsidTr="00DF03E1">
        <w:tc>
          <w:tcPr>
            <w:tcW w:w="562" w:type="dxa"/>
          </w:tcPr>
          <w:p w14:paraId="070BAEEE" w14:textId="14406DA5" w:rsidR="00464C99" w:rsidRDefault="00464C99">
            <w:pPr>
              <w:rPr>
                <w:lang w:val="en-GB"/>
              </w:rPr>
            </w:pPr>
            <w:r>
              <w:rPr>
                <w:lang w:val="en-GB"/>
              </w:rPr>
              <w:t>7</w:t>
            </w:r>
          </w:p>
        </w:tc>
        <w:tc>
          <w:tcPr>
            <w:tcW w:w="4962" w:type="dxa"/>
          </w:tcPr>
          <w:p w14:paraId="24C4C357" w14:textId="77777777" w:rsidR="00464C99" w:rsidRPr="007845B3" w:rsidRDefault="00464C99" w:rsidP="00005DB4">
            <w:pPr>
              <w:rPr>
                <w:rFonts w:eastAsia="Times New Roman"/>
                <w:lang w:val="en-US"/>
              </w:rPr>
            </w:pPr>
            <w:r w:rsidRPr="00005DB4">
              <w:rPr>
                <w:rFonts w:eastAsia="Times New Roman"/>
                <w:b/>
                <w:bCs/>
                <w:lang w:val="en-GB"/>
                <w14:ligatures w14:val="none"/>
              </w:rPr>
              <w:t>Grants:</w:t>
            </w:r>
          </w:p>
          <w:p w14:paraId="2B86967B" w14:textId="77777777" w:rsidR="00464C99" w:rsidRPr="007845B3" w:rsidRDefault="00464C99" w:rsidP="00281EB8">
            <w:pPr>
              <w:rPr>
                <w:lang w:val="en-US"/>
              </w:rPr>
            </w:pPr>
            <w:r>
              <w:rPr>
                <w:lang w:val="en-GB"/>
              </w:rPr>
              <w:t>It is mentioned in the Terms of Reference state that “the grants component of the programme will be maintained at the same level of commitment in Phase 3 with a budget of 600.000 Euros”.</w:t>
            </w:r>
          </w:p>
          <w:p w14:paraId="6547B729" w14:textId="77777777" w:rsidR="00464C99" w:rsidRPr="007845B3" w:rsidRDefault="00464C99" w:rsidP="00281EB8">
            <w:pPr>
              <w:pStyle w:val="Default"/>
              <w:numPr>
                <w:ilvl w:val="0"/>
                <w:numId w:val="3"/>
              </w:numPr>
              <w:rPr>
                <w:rFonts w:eastAsia="Times New Roman"/>
                <w:lang w:val="en-US"/>
              </w:rPr>
            </w:pPr>
            <w:r>
              <w:rPr>
                <w:rFonts w:ascii="Calibri" w:eastAsia="Times New Roman" w:hAnsi="Calibri" w:cs="Calibri"/>
                <w:sz w:val="22"/>
                <w:szCs w:val="22"/>
                <w:lang w:val="en-GB"/>
              </w:rPr>
              <w:t>As the Tender price must be given in SEK, could you let us know what is the SEK equivalent that shall be reserved for the Grants component in our offered price?</w:t>
            </w:r>
          </w:p>
          <w:p w14:paraId="664291B0" w14:textId="77777777" w:rsidR="00464C99" w:rsidRPr="007845B3" w:rsidRDefault="00464C99" w:rsidP="00266E84">
            <w:pPr>
              <w:pStyle w:val="elementtoproof"/>
              <w:rPr>
                <w:color w:val="000000"/>
                <w:sz w:val="24"/>
                <w:szCs w:val="24"/>
                <w:lang w:val="en-US"/>
              </w:rPr>
            </w:pPr>
          </w:p>
        </w:tc>
        <w:tc>
          <w:tcPr>
            <w:tcW w:w="4819" w:type="dxa"/>
          </w:tcPr>
          <w:p w14:paraId="22DBF3BE" w14:textId="0E652F02" w:rsidR="00464C99" w:rsidRPr="006521ED" w:rsidRDefault="00464C99">
            <w:pPr>
              <w:rPr>
                <w:lang w:val="en-GB"/>
              </w:rPr>
            </w:pPr>
            <w:r>
              <w:rPr>
                <w:lang w:val="en-GB"/>
              </w:rPr>
              <w:t xml:space="preserve">A provision for Grants of </w:t>
            </w:r>
            <w:r w:rsidRPr="003C22D1">
              <w:rPr>
                <w:b/>
                <w:bCs/>
                <w:lang w:val="en-GB"/>
              </w:rPr>
              <w:t>SEK 6,670,000</w:t>
            </w:r>
            <w:r w:rsidRPr="003C22D1">
              <w:rPr>
                <w:lang w:val="en-GB"/>
              </w:rPr>
              <w:t xml:space="preserve"> </w:t>
            </w:r>
            <w:r>
              <w:rPr>
                <w:lang w:val="en-GB"/>
              </w:rPr>
              <w:t xml:space="preserve">should be included in your Financial Proposal. </w:t>
            </w:r>
            <w:r w:rsidRPr="003B7CB9">
              <w:rPr>
                <w:lang w:val="en-GB"/>
              </w:rPr>
              <w:t>(This is calculated according to the exchange rate EURO/SEK on 16 Dec 2023).</w:t>
            </w:r>
          </w:p>
        </w:tc>
      </w:tr>
      <w:tr w:rsidR="00464C99" w:rsidRPr="0060476B" w14:paraId="1830C581" w14:textId="77777777" w:rsidTr="00DF03E1">
        <w:tc>
          <w:tcPr>
            <w:tcW w:w="562" w:type="dxa"/>
          </w:tcPr>
          <w:p w14:paraId="1B8DEF0A" w14:textId="06BB19AD" w:rsidR="00464C99" w:rsidRDefault="00464C99">
            <w:pPr>
              <w:rPr>
                <w:lang w:val="en-GB"/>
              </w:rPr>
            </w:pPr>
            <w:r>
              <w:rPr>
                <w:lang w:val="en-GB"/>
              </w:rPr>
              <w:t>8</w:t>
            </w:r>
          </w:p>
        </w:tc>
        <w:tc>
          <w:tcPr>
            <w:tcW w:w="4962" w:type="dxa"/>
          </w:tcPr>
          <w:p w14:paraId="0FD56400" w14:textId="77777777" w:rsidR="00464C99" w:rsidRPr="007845B3" w:rsidRDefault="00464C99" w:rsidP="00EC74E9">
            <w:pPr>
              <w:pStyle w:val="Default"/>
              <w:rPr>
                <w:rFonts w:eastAsia="Times New Roman"/>
                <w:color w:val="auto"/>
                <w:lang w:val="en-US"/>
              </w:rPr>
            </w:pPr>
            <w:r>
              <w:rPr>
                <w:rFonts w:ascii="Calibri" w:eastAsia="Times New Roman" w:hAnsi="Calibri" w:cs="Calibri"/>
                <w:b/>
                <w:bCs/>
                <w:color w:val="auto"/>
                <w:sz w:val="22"/>
                <w:szCs w:val="22"/>
                <w:lang w:val="en-GB"/>
              </w:rPr>
              <w:t>Financial proposal:</w:t>
            </w:r>
          </w:p>
          <w:p w14:paraId="086A15DE" w14:textId="77777777" w:rsidR="00464C99" w:rsidRPr="007845B3" w:rsidRDefault="00464C99" w:rsidP="00EC74E9">
            <w:pPr>
              <w:pStyle w:val="Default"/>
              <w:rPr>
                <w:lang w:val="en-US"/>
              </w:rPr>
            </w:pPr>
            <w:r>
              <w:rPr>
                <w:rFonts w:ascii="Calibri" w:hAnsi="Calibri" w:cs="Calibri"/>
                <w:sz w:val="22"/>
                <w:szCs w:val="22"/>
                <w:lang w:val="en-GB"/>
              </w:rPr>
              <w:t xml:space="preserve">The table in section 6.1 Fees and Costs already pre-indicates a number of working </w:t>
            </w:r>
            <w:proofErr w:type="gramStart"/>
            <w:r>
              <w:rPr>
                <w:rFonts w:ascii="Calibri" w:hAnsi="Calibri" w:cs="Calibri"/>
                <w:sz w:val="22"/>
                <w:szCs w:val="22"/>
                <w:lang w:val="en-GB"/>
              </w:rPr>
              <w:t>month</w:t>
            </w:r>
            <w:proofErr w:type="gramEnd"/>
            <w:r>
              <w:rPr>
                <w:rFonts w:ascii="Calibri" w:hAnsi="Calibri" w:cs="Calibri"/>
                <w:sz w:val="22"/>
                <w:szCs w:val="22"/>
                <w:lang w:val="en-GB"/>
              </w:rPr>
              <w:t xml:space="preserve"> per expert position.</w:t>
            </w:r>
          </w:p>
          <w:p w14:paraId="68D58C29" w14:textId="77777777" w:rsidR="00464C99" w:rsidRPr="007845B3" w:rsidRDefault="00464C99" w:rsidP="00EC74E9">
            <w:pPr>
              <w:pStyle w:val="Default"/>
              <w:numPr>
                <w:ilvl w:val="0"/>
                <w:numId w:val="3"/>
              </w:numPr>
              <w:rPr>
                <w:rFonts w:eastAsia="Times New Roman"/>
                <w:lang w:val="en-US"/>
              </w:rPr>
            </w:pPr>
            <w:r>
              <w:rPr>
                <w:rFonts w:ascii="Calibri" w:eastAsia="Times New Roman" w:hAnsi="Calibri" w:cs="Calibri"/>
                <w:sz w:val="22"/>
                <w:szCs w:val="22"/>
                <w:lang w:val="en-GB"/>
              </w:rPr>
              <w:t xml:space="preserve">As an </w:t>
            </w:r>
            <w:proofErr w:type="gramStart"/>
            <w:r>
              <w:rPr>
                <w:rFonts w:ascii="Calibri" w:eastAsia="Times New Roman" w:hAnsi="Calibri" w:cs="Calibri"/>
                <w:sz w:val="22"/>
                <w:szCs w:val="22"/>
                <w:lang w:val="en-GB"/>
              </w:rPr>
              <w:t>example</w:t>
            </w:r>
            <w:proofErr w:type="gramEnd"/>
            <w:r>
              <w:rPr>
                <w:rFonts w:ascii="Calibri" w:eastAsia="Times New Roman" w:hAnsi="Calibri" w:cs="Calibri"/>
                <w:sz w:val="22"/>
                <w:szCs w:val="22"/>
                <w:lang w:val="en-GB"/>
              </w:rPr>
              <w:t xml:space="preserve"> the Programme Manager has 60 months allocated, this means that the expert will have no vacation during the whole 5-year period of the project. Should not a full working year be 10,5 months as per usual Sida practice? </w:t>
            </w:r>
          </w:p>
          <w:p w14:paraId="2F180A4E" w14:textId="77777777" w:rsidR="00464C99" w:rsidRPr="007845B3" w:rsidRDefault="00464C99" w:rsidP="00266E84">
            <w:pPr>
              <w:pStyle w:val="elementtoproof"/>
              <w:rPr>
                <w:color w:val="000000"/>
                <w:sz w:val="24"/>
                <w:szCs w:val="24"/>
                <w:lang w:val="en-US"/>
              </w:rPr>
            </w:pPr>
          </w:p>
        </w:tc>
        <w:tc>
          <w:tcPr>
            <w:tcW w:w="4819" w:type="dxa"/>
          </w:tcPr>
          <w:p w14:paraId="7F8BDD23" w14:textId="052273FE" w:rsidR="00464C99" w:rsidRDefault="00464C99">
            <w:pPr>
              <w:rPr>
                <w:lang w:val="en-GB"/>
              </w:rPr>
            </w:pPr>
            <w:r>
              <w:rPr>
                <w:lang w:val="en-GB"/>
              </w:rPr>
              <w:t>All experts are entitled to vacation of 1.5 months per calendar year (or pro-rata for shorter periods).</w:t>
            </w:r>
          </w:p>
          <w:p w14:paraId="3243BE0C" w14:textId="4ACD6705" w:rsidR="00464C99" w:rsidRPr="009D6C6D" w:rsidRDefault="00464C99" w:rsidP="001F4782">
            <w:pPr>
              <w:rPr>
                <w:lang w:val="en-GB"/>
              </w:rPr>
            </w:pPr>
            <w:r>
              <w:rPr>
                <w:lang w:val="en-GB"/>
              </w:rPr>
              <w:t xml:space="preserve">For each 12 months of project assignment </w:t>
            </w:r>
            <w:r w:rsidRPr="009D6C6D">
              <w:rPr>
                <w:lang w:val="en-GB"/>
              </w:rPr>
              <w:t>time Sida can be charged for 10,5 months/year only</w:t>
            </w:r>
            <w:r>
              <w:rPr>
                <w:lang w:val="en-GB"/>
              </w:rPr>
              <w:t>. A</w:t>
            </w:r>
            <w:r w:rsidRPr="009D6C6D">
              <w:rPr>
                <w:lang w:val="en-GB"/>
              </w:rPr>
              <w:t>lthough the work is considered full time with 12 working months. 1,5 months are annual leave which are included in the fee paid for the 10,5 months.</w:t>
            </w:r>
          </w:p>
          <w:p w14:paraId="48502A9A" w14:textId="7A5A4EAD" w:rsidR="00464C99" w:rsidRPr="006521ED" w:rsidRDefault="00464C99">
            <w:pPr>
              <w:rPr>
                <w:lang w:val="en-GB"/>
              </w:rPr>
            </w:pPr>
          </w:p>
        </w:tc>
      </w:tr>
      <w:tr w:rsidR="00464C99" w:rsidRPr="0060476B" w14:paraId="48583CE8" w14:textId="77777777" w:rsidTr="00DF03E1">
        <w:tc>
          <w:tcPr>
            <w:tcW w:w="562" w:type="dxa"/>
          </w:tcPr>
          <w:p w14:paraId="353DFF1B" w14:textId="52D4C74E" w:rsidR="00464C99" w:rsidRPr="0053371E" w:rsidRDefault="00464C99" w:rsidP="00AC172D">
            <w:pPr>
              <w:rPr>
                <w:lang w:val="en-GB"/>
              </w:rPr>
            </w:pPr>
            <w:r>
              <w:rPr>
                <w:lang w:val="en-GB"/>
              </w:rPr>
              <w:t>9</w:t>
            </w:r>
          </w:p>
        </w:tc>
        <w:tc>
          <w:tcPr>
            <w:tcW w:w="4962" w:type="dxa"/>
          </w:tcPr>
          <w:p w14:paraId="6DCFFBCC" w14:textId="77777777" w:rsidR="00464C99" w:rsidRPr="007845B3" w:rsidRDefault="00464C99" w:rsidP="00AC172D">
            <w:pPr>
              <w:pStyle w:val="Default"/>
              <w:rPr>
                <w:lang w:val="en-US"/>
              </w:rPr>
            </w:pPr>
            <w:r w:rsidRPr="0053371E">
              <w:rPr>
                <w:rFonts w:ascii="Calibri" w:hAnsi="Calibri" w:cs="Calibri"/>
                <w:sz w:val="22"/>
                <w:szCs w:val="22"/>
                <w:lang w:val="en-GB"/>
              </w:rPr>
              <w:t> </w:t>
            </w:r>
          </w:p>
          <w:p w14:paraId="5EFBBACB" w14:textId="77777777" w:rsidR="00464C99" w:rsidRPr="007845B3" w:rsidRDefault="00464C99" w:rsidP="00AC172D">
            <w:pPr>
              <w:pStyle w:val="Default"/>
              <w:rPr>
                <w:rFonts w:eastAsia="Times New Roman"/>
                <w:lang w:val="en-US"/>
              </w:rPr>
            </w:pPr>
            <w:r>
              <w:rPr>
                <w:rFonts w:ascii="Calibri" w:eastAsia="Times New Roman" w:hAnsi="Calibri" w:cs="Calibri"/>
                <w:b/>
                <w:bCs/>
                <w:sz w:val="22"/>
                <w:szCs w:val="22"/>
                <w:lang w:val="en-GB"/>
              </w:rPr>
              <w:t>Fees and Cost:</w:t>
            </w:r>
          </w:p>
          <w:p w14:paraId="7A39D6FC" w14:textId="77777777" w:rsidR="00464C99" w:rsidRPr="007845B3" w:rsidRDefault="00464C99" w:rsidP="00AC172D">
            <w:pPr>
              <w:pStyle w:val="Default"/>
              <w:rPr>
                <w:lang w:val="en-US"/>
              </w:rPr>
            </w:pPr>
            <w:r>
              <w:rPr>
                <w:rFonts w:ascii="Calibri" w:hAnsi="Calibri" w:cs="Calibri"/>
                <w:sz w:val="22"/>
                <w:szCs w:val="22"/>
                <w:lang w:val="en-GB"/>
              </w:rPr>
              <w:t>In the table in section 6.1, short-term experts (STEs) are not included. Our understanding of the assignment is that a pool of STEs with various fields of expertise will be necessary to properly implement the project.</w:t>
            </w:r>
          </w:p>
          <w:p w14:paraId="17F96834" w14:textId="77777777" w:rsidR="00464C99" w:rsidRPr="007845B3" w:rsidRDefault="00464C99" w:rsidP="00AC172D">
            <w:pPr>
              <w:pStyle w:val="Default"/>
              <w:numPr>
                <w:ilvl w:val="0"/>
                <w:numId w:val="3"/>
              </w:numPr>
              <w:rPr>
                <w:rFonts w:eastAsia="Times New Roman"/>
                <w:lang w:val="en-US"/>
              </w:rPr>
            </w:pPr>
            <w:r>
              <w:rPr>
                <w:rFonts w:ascii="Calibri" w:eastAsia="Times New Roman" w:hAnsi="Calibri" w:cs="Calibri"/>
                <w:sz w:val="22"/>
                <w:szCs w:val="22"/>
                <w:lang w:val="en-GB"/>
              </w:rPr>
              <w:t>Shall a STE pool be budgeted for in the Financial Proposal, and thereby including in the offered price? And if so, how many days should be allocated to these International and National STEs?</w:t>
            </w:r>
          </w:p>
          <w:p w14:paraId="561F40AC" w14:textId="77777777" w:rsidR="00464C99" w:rsidRPr="007845B3" w:rsidRDefault="00464C99" w:rsidP="00AC172D">
            <w:pPr>
              <w:pStyle w:val="Default"/>
              <w:rPr>
                <w:lang w:val="en-US"/>
              </w:rPr>
            </w:pPr>
            <w:r>
              <w:rPr>
                <w:rFonts w:ascii="Calibri" w:hAnsi="Calibri" w:cs="Calibri"/>
                <w:sz w:val="22"/>
                <w:szCs w:val="22"/>
                <w:lang w:val="en-GB"/>
              </w:rPr>
              <w:t> </w:t>
            </w:r>
          </w:p>
          <w:p w14:paraId="267084FA" w14:textId="77777777" w:rsidR="00464C99" w:rsidRDefault="00464C99" w:rsidP="00AC172D">
            <w:pPr>
              <w:pStyle w:val="Default"/>
              <w:rPr>
                <w:rFonts w:ascii="Calibri" w:eastAsia="Times New Roman" w:hAnsi="Calibri" w:cs="Calibri"/>
                <w:b/>
                <w:bCs/>
                <w:color w:val="auto"/>
                <w:sz w:val="22"/>
                <w:szCs w:val="22"/>
                <w:lang w:val="en-GB"/>
              </w:rPr>
            </w:pPr>
          </w:p>
        </w:tc>
        <w:tc>
          <w:tcPr>
            <w:tcW w:w="4819" w:type="dxa"/>
          </w:tcPr>
          <w:p w14:paraId="45AA4050" w14:textId="20806D8D" w:rsidR="00464C99" w:rsidRDefault="00464C99" w:rsidP="00AC172D">
            <w:pPr>
              <w:rPr>
                <w:lang w:val="en-GB"/>
              </w:rPr>
            </w:pPr>
            <w:r>
              <w:rPr>
                <w:lang w:val="en-GB"/>
              </w:rPr>
              <w:t xml:space="preserve">No provision for STE days should be included in your Financial Proposal. The arrangements for STE will be determined later and services will be hired </w:t>
            </w:r>
            <w:r w:rsidRPr="00806A81">
              <w:rPr>
                <w:lang w:val="en-GB"/>
              </w:rPr>
              <w:t xml:space="preserve">according to </w:t>
            </w:r>
            <w:proofErr w:type="spellStart"/>
            <w:r w:rsidRPr="00806A81">
              <w:rPr>
                <w:lang w:val="en-GB"/>
              </w:rPr>
              <w:t>Sida’s</w:t>
            </w:r>
            <w:proofErr w:type="spellEnd"/>
            <w:r w:rsidRPr="00806A81">
              <w:rPr>
                <w:lang w:val="en-GB"/>
              </w:rPr>
              <w:t xml:space="preserve"> Procurement Guidelines.</w:t>
            </w:r>
          </w:p>
        </w:tc>
      </w:tr>
      <w:tr w:rsidR="00464C99" w:rsidRPr="0060476B" w14:paraId="3301FB8E" w14:textId="77777777" w:rsidTr="00DF03E1">
        <w:tc>
          <w:tcPr>
            <w:tcW w:w="562" w:type="dxa"/>
          </w:tcPr>
          <w:p w14:paraId="50273D02" w14:textId="08359717" w:rsidR="00464C99" w:rsidRDefault="00464C99" w:rsidP="00F20BE4">
            <w:pPr>
              <w:rPr>
                <w:lang w:val="en-GB"/>
              </w:rPr>
            </w:pPr>
            <w:r>
              <w:rPr>
                <w:lang w:val="en-GB"/>
              </w:rPr>
              <w:t>10</w:t>
            </w:r>
          </w:p>
        </w:tc>
        <w:tc>
          <w:tcPr>
            <w:tcW w:w="4962" w:type="dxa"/>
          </w:tcPr>
          <w:p w14:paraId="3E937B27" w14:textId="77777777" w:rsidR="00464C99" w:rsidRPr="00BC1E43" w:rsidRDefault="00464C99" w:rsidP="00F20BE4">
            <w:pPr>
              <w:pStyle w:val="Default"/>
              <w:rPr>
                <w:rFonts w:ascii="Calibri" w:eastAsia="Times New Roman" w:hAnsi="Calibri" w:cs="Calibri"/>
                <w:sz w:val="22"/>
                <w:szCs w:val="22"/>
                <w:lang w:val="en-GB"/>
              </w:rPr>
            </w:pPr>
            <w:r w:rsidRPr="00BC1E43">
              <w:rPr>
                <w:rFonts w:ascii="Calibri" w:eastAsia="Times New Roman" w:hAnsi="Calibri" w:cs="Calibri"/>
                <w:sz w:val="22"/>
                <w:szCs w:val="22"/>
                <w:lang w:val="en-GB"/>
              </w:rPr>
              <w:t xml:space="preserve">With references to the law on public procurement (LOU) to ensure that the tender procedure is an open and fair </w:t>
            </w:r>
            <w:proofErr w:type="gramStart"/>
            <w:r w:rsidRPr="00BC1E43">
              <w:rPr>
                <w:rFonts w:ascii="Calibri" w:eastAsia="Times New Roman" w:hAnsi="Calibri" w:cs="Calibri"/>
                <w:sz w:val="22"/>
                <w:szCs w:val="22"/>
                <w:lang w:val="en-GB"/>
              </w:rPr>
              <w:t>procedure</w:t>
            </w:r>
            <w:proofErr w:type="gramEnd"/>
            <w:r w:rsidRPr="00BC1E43">
              <w:rPr>
                <w:rFonts w:ascii="Calibri" w:eastAsia="Times New Roman" w:hAnsi="Calibri" w:cs="Calibri"/>
                <w:sz w:val="22"/>
                <w:szCs w:val="22"/>
                <w:lang w:val="en-GB"/>
              </w:rPr>
              <w:t xml:space="preserve"> and no tenderer is advantaged and disadvantaged, we have questions regarding the profiles of the expert team for this procurement. Section 4.6 of the Procurement document that specifies the technical must requirements for the team includes technical specifications that can be questioned if they are tailored to fit already identified profiles. For example, the language requirement where the Albanian language is either a must requirement or an added value for all profiles, including the International Policing Advisor. Furthermore, for the Grant Scheme Manager, the following requirement is stated: ‘</w:t>
            </w:r>
            <w:r w:rsidRPr="00F240F8">
              <w:rPr>
                <w:rFonts w:ascii="Calibri" w:hAnsi="Calibri" w:cs="Calibri"/>
                <w:sz w:val="22"/>
                <w:szCs w:val="22"/>
                <w:lang w:val="en-GB"/>
              </w:rPr>
              <w:t>XI. Experience of working with the ASP, local government and decentralised government structures and civil society in Albania is required.’</w:t>
            </w:r>
            <w:r w:rsidRPr="00BC1E43">
              <w:rPr>
                <w:rFonts w:ascii="Calibri" w:eastAsia="Times New Roman" w:hAnsi="Calibri" w:cs="Calibri"/>
                <w:sz w:val="22"/>
                <w:szCs w:val="22"/>
                <w:lang w:val="en-GB"/>
              </w:rPr>
              <w:t xml:space="preserve"> This requirement severely limits the number of candidates, and we question why such a profile is needed for a Grant Scheme Manager that is not a technical profile related to the technical area of the procurement that is Community Policing. </w:t>
            </w:r>
          </w:p>
          <w:p w14:paraId="0C5C4D65" w14:textId="77777777" w:rsidR="00464C99" w:rsidRPr="00BC1E43" w:rsidRDefault="00464C99" w:rsidP="00F20BE4">
            <w:pPr>
              <w:pStyle w:val="Default"/>
              <w:rPr>
                <w:rFonts w:ascii="Calibri" w:eastAsia="Times New Roman" w:hAnsi="Calibri" w:cs="Calibri"/>
                <w:sz w:val="22"/>
                <w:szCs w:val="22"/>
                <w:lang w:val="en-GB"/>
              </w:rPr>
            </w:pPr>
          </w:p>
        </w:tc>
        <w:tc>
          <w:tcPr>
            <w:tcW w:w="4819" w:type="dxa"/>
          </w:tcPr>
          <w:p w14:paraId="1B4023ED" w14:textId="2A28EBF9" w:rsidR="00464C99" w:rsidRPr="00F20BE4" w:rsidRDefault="00464C99" w:rsidP="00F20BE4">
            <w:pPr>
              <w:rPr>
                <w:lang w:val="en-US"/>
              </w:rPr>
            </w:pPr>
            <w:r w:rsidRPr="00F20BE4">
              <w:rPr>
                <w:lang w:val="en-GB"/>
              </w:rPr>
              <w:t xml:space="preserve">The responsibilities of each </w:t>
            </w:r>
            <w:r>
              <w:rPr>
                <w:lang w:val="en-GB"/>
              </w:rPr>
              <w:t>expert</w:t>
            </w:r>
            <w:r w:rsidRPr="00F20BE4">
              <w:rPr>
                <w:lang w:val="en-GB"/>
              </w:rPr>
              <w:t xml:space="preserve"> are </w:t>
            </w:r>
            <w:proofErr w:type="gramStart"/>
            <w:r w:rsidRPr="00F20BE4">
              <w:rPr>
                <w:lang w:val="en-GB"/>
              </w:rPr>
              <w:t>different</w:t>
            </w:r>
            <w:proofErr w:type="gramEnd"/>
            <w:r w:rsidRPr="00F20BE4">
              <w:rPr>
                <w:lang w:val="en-GB"/>
              </w:rPr>
              <w:t xml:space="preserve"> and they therefore require different levels of Albanian language. For both the International Policing Advisor and the Monitoring and Evaluation Expert, the requirements of Albanian language have been lowered to the </w:t>
            </w:r>
            <w:r w:rsidRPr="00F20BE4">
              <w:rPr>
                <w:lang w:val="en-GB" w:bidi="en-GB"/>
              </w:rPr>
              <w:t xml:space="preserve">level ” </w:t>
            </w:r>
            <w:r w:rsidRPr="00F20BE4">
              <w:rPr>
                <w:lang w:val="en-US"/>
              </w:rPr>
              <w:t xml:space="preserve">Minimum professional proficiency being an added value” to allow for international experts to qualify. For the </w:t>
            </w:r>
            <w:proofErr w:type="spellStart"/>
            <w:r w:rsidRPr="00F20BE4">
              <w:rPr>
                <w:lang w:val="en-US"/>
              </w:rPr>
              <w:t>Programme</w:t>
            </w:r>
            <w:proofErr w:type="spellEnd"/>
            <w:r w:rsidRPr="00F20BE4">
              <w:rPr>
                <w:lang w:val="en-US"/>
              </w:rPr>
              <w:t xml:space="preserve"> Manager/Team Leader and the Grants Scheme Manger, due to the very high need for interaction with the Albanian counterparts, the requirement has been put as a “must” the Full Professional proficiency in Albanian language.</w:t>
            </w:r>
          </w:p>
          <w:p w14:paraId="06AEF3F9" w14:textId="77777777" w:rsidR="00464C99" w:rsidRPr="00F20BE4" w:rsidRDefault="00464C99" w:rsidP="00F20BE4">
            <w:pPr>
              <w:rPr>
                <w:lang w:val="en-US"/>
              </w:rPr>
            </w:pPr>
            <w:r w:rsidRPr="00F20BE4">
              <w:rPr>
                <w:lang w:val="en-US"/>
              </w:rPr>
              <w:t>The requirements for the Grants Scheme Manager include experience of working with ASP, local governments, and civil society because these are the main counterparts for the grant’s proposals/activities. The proposals come from civil society organizations working with the Albanian State Police and the local governments for local safety issues.</w:t>
            </w:r>
          </w:p>
          <w:p w14:paraId="4C11E319" w14:textId="00D245C4" w:rsidR="00464C99" w:rsidRPr="00F20BE4" w:rsidRDefault="00464C99" w:rsidP="00F20BE4">
            <w:pPr>
              <w:rPr>
                <w:lang w:val="en-GB"/>
              </w:rPr>
            </w:pPr>
            <w:r w:rsidRPr="00F20BE4">
              <w:rPr>
                <w:lang w:val="en-US"/>
              </w:rPr>
              <w:t xml:space="preserve">These requirements have been the same throughout the previous phases of the </w:t>
            </w:r>
            <w:proofErr w:type="spellStart"/>
            <w:r w:rsidRPr="00F20BE4">
              <w:rPr>
                <w:lang w:val="en-US"/>
              </w:rPr>
              <w:t>programme</w:t>
            </w:r>
            <w:proofErr w:type="spellEnd"/>
            <w:r w:rsidRPr="00F20BE4">
              <w:rPr>
                <w:lang w:val="en-US"/>
              </w:rPr>
              <w:t>.</w:t>
            </w:r>
          </w:p>
        </w:tc>
      </w:tr>
      <w:tr w:rsidR="00464C99" w:rsidRPr="0060476B" w14:paraId="61417900" w14:textId="77777777" w:rsidTr="00DF03E1">
        <w:tc>
          <w:tcPr>
            <w:tcW w:w="562" w:type="dxa"/>
          </w:tcPr>
          <w:p w14:paraId="4E16EF06" w14:textId="7E95B9E3" w:rsidR="00464C99" w:rsidRDefault="00464C99" w:rsidP="00F20BE4">
            <w:pPr>
              <w:rPr>
                <w:lang w:val="en-GB"/>
              </w:rPr>
            </w:pPr>
            <w:r>
              <w:rPr>
                <w:lang w:val="en-GB"/>
              </w:rPr>
              <w:t>11</w:t>
            </w:r>
          </w:p>
        </w:tc>
        <w:tc>
          <w:tcPr>
            <w:tcW w:w="4962" w:type="dxa"/>
          </w:tcPr>
          <w:p w14:paraId="60DC9B42" w14:textId="0225DBCD" w:rsidR="00464C99" w:rsidRPr="00BC1E43" w:rsidRDefault="00464C99" w:rsidP="00F20BE4">
            <w:pPr>
              <w:pStyle w:val="Default"/>
              <w:rPr>
                <w:rFonts w:ascii="Calibri" w:eastAsia="Times New Roman" w:hAnsi="Calibri" w:cs="Calibri"/>
                <w:sz w:val="22"/>
                <w:szCs w:val="22"/>
                <w:lang w:val="en-GB"/>
              </w:rPr>
            </w:pPr>
            <w:r w:rsidRPr="00BC1E43">
              <w:rPr>
                <w:rFonts w:ascii="Calibri" w:eastAsia="Times New Roman" w:hAnsi="Calibri" w:cs="Calibri"/>
                <w:sz w:val="22"/>
                <w:szCs w:val="22"/>
                <w:lang w:val="en-GB"/>
              </w:rPr>
              <w:t xml:space="preserve">We would like to ask for an extension of the tender deadline of an additional two weeks due to the holiday season </w:t>
            </w:r>
            <w:proofErr w:type="gramStart"/>
            <w:r w:rsidRPr="00BC1E43">
              <w:rPr>
                <w:rFonts w:ascii="Calibri" w:eastAsia="Times New Roman" w:hAnsi="Calibri" w:cs="Calibri"/>
                <w:sz w:val="22"/>
                <w:szCs w:val="22"/>
                <w:lang w:val="en-GB"/>
              </w:rPr>
              <w:t>in order to</w:t>
            </w:r>
            <w:proofErr w:type="gramEnd"/>
            <w:r w:rsidRPr="00BC1E43">
              <w:rPr>
                <w:rFonts w:ascii="Calibri" w:eastAsia="Times New Roman" w:hAnsi="Calibri" w:cs="Calibri"/>
                <w:sz w:val="22"/>
                <w:szCs w:val="22"/>
                <w:lang w:val="en-GB"/>
              </w:rPr>
              <w:t xml:space="preserve"> ensure that also the tenderers that have not been involved in the implementation of the previous phases of the procurement have access to information in Albania.</w:t>
            </w:r>
          </w:p>
        </w:tc>
        <w:tc>
          <w:tcPr>
            <w:tcW w:w="4819" w:type="dxa"/>
          </w:tcPr>
          <w:p w14:paraId="0A3D2A44" w14:textId="280C8C8E" w:rsidR="00464C99" w:rsidRDefault="00464C99" w:rsidP="00F20BE4">
            <w:pPr>
              <w:rPr>
                <w:lang w:val="en-GB"/>
              </w:rPr>
            </w:pPr>
            <w:r>
              <w:rPr>
                <w:lang w:val="en-GB"/>
              </w:rPr>
              <w:t>The Embassy extend</w:t>
            </w:r>
            <w:r w:rsidR="00654C2C">
              <w:rPr>
                <w:lang w:val="en-GB"/>
              </w:rPr>
              <w:t>ed</w:t>
            </w:r>
            <w:r>
              <w:rPr>
                <w:lang w:val="en-GB"/>
              </w:rPr>
              <w:t xml:space="preserve"> the deadline for submission of tenders</w:t>
            </w:r>
            <w:r w:rsidR="00654C2C">
              <w:rPr>
                <w:lang w:val="en-GB"/>
              </w:rPr>
              <w:t xml:space="preserve"> by </w:t>
            </w:r>
            <w:r w:rsidR="00654C2C" w:rsidRPr="00654C2C">
              <w:rPr>
                <w:b/>
                <w:bCs/>
                <w:lang w:val="en-GB"/>
              </w:rPr>
              <w:t>one week</w:t>
            </w:r>
            <w:r w:rsidR="00654C2C">
              <w:rPr>
                <w:lang w:val="en-GB"/>
              </w:rPr>
              <w:t xml:space="preserve"> to </w:t>
            </w:r>
            <w:r w:rsidR="00654C2C">
              <w:rPr>
                <w:rFonts w:ascii="Calibri" w:hAnsi="Calibri" w:cs="Calibri"/>
                <w:b/>
                <w:bCs/>
                <w:i/>
                <w:iCs/>
                <w:lang w:val="en-GB"/>
              </w:rPr>
              <w:t>22</w:t>
            </w:r>
            <w:r w:rsidR="00654C2C" w:rsidRPr="007C4FB2">
              <w:rPr>
                <w:rFonts w:ascii="Calibri" w:hAnsi="Calibri" w:cs="Calibri"/>
                <w:b/>
                <w:bCs/>
                <w:i/>
                <w:iCs/>
                <w:lang w:val="en-GB"/>
              </w:rPr>
              <w:t xml:space="preserve"> January </w:t>
            </w:r>
            <w:r w:rsidR="00654C2C" w:rsidRPr="00B73259">
              <w:rPr>
                <w:rFonts w:ascii="Calibri" w:hAnsi="Calibri" w:cs="Calibri"/>
                <w:b/>
                <w:bCs/>
                <w:i/>
                <w:iCs/>
                <w:lang w:val="en-GB"/>
              </w:rPr>
              <w:t xml:space="preserve">2024 </w:t>
            </w:r>
            <w:r w:rsidR="00AF18F8">
              <w:rPr>
                <w:rFonts w:ascii="Calibri" w:hAnsi="Calibri" w:cs="Calibri"/>
                <w:b/>
                <w:bCs/>
                <w:i/>
                <w:iCs/>
                <w:lang w:val="en-GB"/>
              </w:rPr>
              <w:t>23</w:t>
            </w:r>
            <w:r w:rsidR="00654C2C" w:rsidRPr="00B73259">
              <w:rPr>
                <w:rFonts w:ascii="Calibri" w:hAnsi="Calibri" w:cs="Calibri"/>
                <w:b/>
                <w:bCs/>
                <w:i/>
                <w:iCs/>
                <w:lang w:val="en-GB"/>
              </w:rPr>
              <w:t>:59:59</w:t>
            </w:r>
            <w:r w:rsidR="00654C2C">
              <w:rPr>
                <w:rFonts w:ascii="Calibri" w:hAnsi="Calibri" w:cs="Calibri"/>
                <w:b/>
                <w:bCs/>
                <w:i/>
                <w:iCs/>
                <w:lang w:val="en-GB"/>
              </w:rPr>
              <w:t xml:space="preserve"> </w:t>
            </w:r>
            <w:r w:rsidR="00654C2C" w:rsidRPr="00B73259">
              <w:rPr>
                <w:rFonts w:ascii="Calibri" w:hAnsi="Calibri" w:cs="Calibri"/>
                <w:b/>
                <w:bCs/>
                <w:i/>
                <w:iCs/>
                <w:lang w:val="en-GB"/>
              </w:rPr>
              <w:t>local</w:t>
            </w:r>
            <w:r w:rsidR="00654C2C" w:rsidRPr="007C4FB2">
              <w:rPr>
                <w:rFonts w:ascii="Calibri" w:hAnsi="Calibri" w:cs="Calibri"/>
                <w:b/>
                <w:bCs/>
                <w:i/>
                <w:iCs/>
                <w:lang w:val="en-GB"/>
              </w:rPr>
              <w:t xml:space="preserve"> time</w:t>
            </w:r>
            <w:r w:rsidR="00654C2C" w:rsidRPr="007C4FB2">
              <w:rPr>
                <w:rFonts w:ascii="Calibri" w:hAnsi="Calibri" w:cs="Calibri"/>
                <w:b/>
                <w:bCs/>
                <w:lang w:val="en-GB"/>
              </w:rPr>
              <w:t>”.</w:t>
            </w:r>
          </w:p>
        </w:tc>
      </w:tr>
      <w:tr w:rsidR="00464C99" w:rsidRPr="0060476B" w14:paraId="74368672" w14:textId="77777777" w:rsidTr="00DF03E1">
        <w:tc>
          <w:tcPr>
            <w:tcW w:w="562" w:type="dxa"/>
          </w:tcPr>
          <w:p w14:paraId="24773055" w14:textId="69A2CAB1" w:rsidR="00464C99" w:rsidRDefault="00464C99" w:rsidP="00F20BE4">
            <w:pPr>
              <w:rPr>
                <w:lang w:val="en-GB"/>
              </w:rPr>
            </w:pPr>
            <w:r>
              <w:rPr>
                <w:lang w:val="en-GB"/>
              </w:rPr>
              <w:t>12</w:t>
            </w:r>
          </w:p>
        </w:tc>
        <w:tc>
          <w:tcPr>
            <w:tcW w:w="4962" w:type="dxa"/>
          </w:tcPr>
          <w:p w14:paraId="0B85F27E" w14:textId="1DC648C3" w:rsidR="00464C99" w:rsidRPr="00BC1E43" w:rsidRDefault="00464C99" w:rsidP="00F20BE4">
            <w:pPr>
              <w:pStyle w:val="Default"/>
              <w:rPr>
                <w:rFonts w:ascii="Calibri" w:eastAsia="Times New Roman" w:hAnsi="Calibri" w:cs="Calibri"/>
                <w:sz w:val="22"/>
                <w:szCs w:val="22"/>
                <w:lang w:val="en-GB"/>
              </w:rPr>
            </w:pPr>
            <w:r w:rsidRPr="00BC1E43">
              <w:rPr>
                <w:rFonts w:ascii="Calibri" w:eastAsia="Times New Roman" w:hAnsi="Calibri" w:cs="Calibri"/>
                <w:sz w:val="22"/>
                <w:szCs w:val="22"/>
                <w:lang w:val="en-GB"/>
              </w:rPr>
              <w:t>Could you clarify whom will be involved in the evaluation of the tender, from which organisations they represent.</w:t>
            </w:r>
          </w:p>
        </w:tc>
        <w:tc>
          <w:tcPr>
            <w:tcW w:w="4819" w:type="dxa"/>
          </w:tcPr>
          <w:p w14:paraId="2CB4756F" w14:textId="0478EAFF" w:rsidR="00464C99" w:rsidRDefault="00464C99" w:rsidP="00F20BE4">
            <w:pPr>
              <w:rPr>
                <w:lang w:val="en-GB"/>
              </w:rPr>
            </w:pPr>
            <w:r>
              <w:rPr>
                <w:lang w:val="en-GB"/>
              </w:rPr>
              <w:t xml:space="preserve">It is not normal practice to reveal the evaluators before or during the evaluation process. </w:t>
            </w:r>
            <w:r w:rsidR="0087347F">
              <w:rPr>
                <w:lang w:val="en-GB"/>
              </w:rPr>
              <w:t>The evaluation</w:t>
            </w:r>
            <w:r>
              <w:rPr>
                <w:lang w:val="en-GB"/>
              </w:rPr>
              <w:t xml:space="preserve"> </w:t>
            </w:r>
            <w:r w:rsidR="0087347F">
              <w:rPr>
                <w:lang w:val="en-GB"/>
              </w:rPr>
              <w:t>panel will include representatives of the beneficiaries.</w:t>
            </w:r>
            <w:r w:rsidR="00E75273">
              <w:rPr>
                <w:lang w:val="en-GB"/>
              </w:rPr>
              <w:t xml:space="preserve"> The evaluation </w:t>
            </w:r>
            <w:r w:rsidR="006312FD">
              <w:rPr>
                <w:lang w:val="en-GB"/>
              </w:rPr>
              <w:t xml:space="preserve">process </w:t>
            </w:r>
            <w:r w:rsidR="00E75273">
              <w:rPr>
                <w:lang w:val="en-GB"/>
              </w:rPr>
              <w:t>will be supported by a</w:t>
            </w:r>
            <w:r w:rsidR="006312FD">
              <w:rPr>
                <w:lang w:val="en-GB"/>
              </w:rPr>
              <w:t xml:space="preserve"> fully</w:t>
            </w:r>
            <w:r w:rsidR="00E75273">
              <w:rPr>
                <w:lang w:val="en-GB"/>
              </w:rPr>
              <w:t xml:space="preserve"> independent </w:t>
            </w:r>
            <w:r w:rsidR="006312FD">
              <w:rPr>
                <w:lang w:val="en-GB"/>
              </w:rPr>
              <w:t xml:space="preserve">Procurement </w:t>
            </w:r>
            <w:r w:rsidR="00F67782">
              <w:rPr>
                <w:lang w:val="en-GB"/>
              </w:rPr>
              <w:t>Expert</w:t>
            </w:r>
            <w:r w:rsidR="006312FD">
              <w:rPr>
                <w:lang w:val="en-GB"/>
              </w:rPr>
              <w:t xml:space="preserve"> appointed by the Embassy.</w:t>
            </w:r>
          </w:p>
        </w:tc>
      </w:tr>
      <w:tr w:rsidR="00464C99" w:rsidRPr="0060476B" w14:paraId="4E52081E" w14:textId="77777777" w:rsidTr="00DF03E1">
        <w:tc>
          <w:tcPr>
            <w:tcW w:w="562" w:type="dxa"/>
          </w:tcPr>
          <w:p w14:paraId="20909AD3" w14:textId="202606C4" w:rsidR="00464C99" w:rsidRDefault="00464C99" w:rsidP="00F20BE4">
            <w:pPr>
              <w:rPr>
                <w:lang w:val="en-GB"/>
              </w:rPr>
            </w:pPr>
            <w:r>
              <w:rPr>
                <w:lang w:val="en-GB"/>
              </w:rPr>
              <w:t>13</w:t>
            </w:r>
          </w:p>
        </w:tc>
        <w:tc>
          <w:tcPr>
            <w:tcW w:w="4962" w:type="dxa"/>
          </w:tcPr>
          <w:p w14:paraId="484E4669" w14:textId="77777777" w:rsidR="00464C99" w:rsidRPr="00BC1E43" w:rsidRDefault="00464C99" w:rsidP="00F20BE4">
            <w:pPr>
              <w:pStyle w:val="Default"/>
              <w:rPr>
                <w:rFonts w:ascii="Calibri" w:eastAsia="Times New Roman" w:hAnsi="Calibri" w:cs="Calibri"/>
                <w:sz w:val="22"/>
                <w:szCs w:val="22"/>
                <w:lang w:val="en-GB"/>
              </w:rPr>
            </w:pPr>
            <w:r w:rsidRPr="00BC1E43">
              <w:rPr>
                <w:rFonts w:ascii="Calibri" w:eastAsia="Times New Roman" w:hAnsi="Calibri" w:cs="Calibri"/>
                <w:sz w:val="22"/>
                <w:szCs w:val="22"/>
                <w:lang w:val="en-GB"/>
              </w:rPr>
              <w:t xml:space="preserve">Can you please share with the tenders the progress reports of Phases 1 and 2 of the </w:t>
            </w:r>
            <w:proofErr w:type="gramStart"/>
            <w:r w:rsidRPr="00BC1E43">
              <w:rPr>
                <w:rFonts w:ascii="Calibri" w:eastAsia="Times New Roman" w:hAnsi="Calibri" w:cs="Calibri"/>
                <w:sz w:val="22"/>
                <w:szCs w:val="22"/>
                <w:lang w:val="en-GB"/>
              </w:rPr>
              <w:t>programme</w:t>
            </w:r>
            <w:proofErr w:type="gramEnd"/>
            <w:r w:rsidRPr="00BC1E43">
              <w:rPr>
                <w:rFonts w:ascii="Calibri" w:eastAsia="Times New Roman" w:hAnsi="Calibri" w:cs="Calibri"/>
                <w:sz w:val="22"/>
                <w:szCs w:val="22"/>
                <w:lang w:val="en-GB"/>
              </w:rPr>
              <w:t xml:space="preserve">? They are not available on Open Aid portal. </w:t>
            </w:r>
          </w:p>
          <w:p w14:paraId="66905BBA" w14:textId="77777777" w:rsidR="00464C99" w:rsidRPr="00BC1E43" w:rsidRDefault="00464C99" w:rsidP="0060476B">
            <w:pPr>
              <w:pStyle w:val="Default"/>
              <w:ind w:left="720"/>
              <w:rPr>
                <w:rFonts w:ascii="Calibri" w:eastAsia="Times New Roman" w:hAnsi="Calibri" w:cs="Calibri"/>
                <w:sz w:val="22"/>
                <w:szCs w:val="22"/>
                <w:lang w:val="en-GB"/>
              </w:rPr>
            </w:pPr>
          </w:p>
        </w:tc>
        <w:tc>
          <w:tcPr>
            <w:tcW w:w="4819" w:type="dxa"/>
          </w:tcPr>
          <w:p w14:paraId="4B1BEEEC" w14:textId="32A31AEA" w:rsidR="00464C99" w:rsidRDefault="00464C99" w:rsidP="00F20BE4">
            <w:pPr>
              <w:rPr>
                <w:lang w:val="en-GB"/>
              </w:rPr>
            </w:pPr>
            <w:r>
              <w:rPr>
                <w:lang w:val="en-GB"/>
              </w:rPr>
              <w:t xml:space="preserve">The final reports </w:t>
            </w:r>
            <w:r w:rsidR="00AF18F8">
              <w:rPr>
                <w:lang w:val="en-GB"/>
              </w:rPr>
              <w:t xml:space="preserve">for both Phases 1 and 2 and </w:t>
            </w:r>
            <w:r>
              <w:rPr>
                <w:lang w:val="en-GB"/>
              </w:rPr>
              <w:t xml:space="preserve"> progress report</w:t>
            </w:r>
            <w:r w:rsidR="00AF18F8">
              <w:rPr>
                <w:lang w:val="en-GB"/>
              </w:rPr>
              <w:t xml:space="preserve"> for Phase 2</w:t>
            </w:r>
            <w:r>
              <w:rPr>
                <w:lang w:val="en-GB"/>
              </w:rPr>
              <w:t xml:space="preserve"> are provided to bidders via the Embassy’s web site along with these answers to bidders’ questions. </w:t>
            </w:r>
          </w:p>
        </w:tc>
      </w:tr>
      <w:tr w:rsidR="00AF18F8" w:rsidRPr="0060476B" w14:paraId="7A7D2400" w14:textId="77777777" w:rsidTr="00DF03E1">
        <w:tc>
          <w:tcPr>
            <w:tcW w:w="562" w:type="dxa"/>
          </w:tcPr>
          <w:p w14:paraId="6FE60C4E" w14:textId="74A475D5" w:rsidR="00AF18F8" w:rsidRDefault="00AF18F8" w:rsidP="00AF18F8">
            <w:pPr>
              <w:rPr>
                <w:lang w:val="en-GB"/>
              </w:rPr>
            </w:pPr>
            <w:r>
              <w:rPr>
                <w:lang w:val="en-GB"/>
              </w:rPr>
              <w:t>14</w:t>
            </w:r>
          </w:p>
        </w:tc>
        <w:tc>
          <w:tcPr>
            <w:tcW w:w="4962" w:type="dxa"/>
          </w:tcPr>
          <w:p w14:paraId="14D9EA46" w14:textId="28D423D4" w:rsidR="00AF18F8" w:rsidRPr="006F6B55" w:rsidRDefault="00AF18F8" w:rsidP="00AF18F8">
            <w:pPr>
              <w:rPr>
                <w:lang w:val="en-US"/>
              </w:rPr>
            </w:pPr>
            <w:r>
              <w:rPr>
                <w:lang w:val="en-GB"/>
              </w:rPr>
              <w:t>We would like to acquire the progress reports for the project entitled 2</w:t>
            </w:r>
            <w:r>
              <w:rPr>
                <w:vertAlign w:val="superscript"/>
                <w:lang w:val="en-GB"/>
              </w:rPr>
              <w:t>nd</w:t>
            </w:r>
            <w:r>
              <w:rPr>
                <w:lang w:val="en-GB"/>
              </w:rPr>
              <w:t xml:space="preserve"> Phase Police Cooperation in Albania, with </w:t>
            </w:r>
            <w:hyperlink r:id="rId6" w:tgtFrame="_self" w:history="1">
              <w:proofErr w:type="spellStart"/>
              <w:r w:rsidRPr="006F6B55">
                <w:rPr>
                  <w:lang w:val="en-US"/>
                </w:rPr>
                <w:t>Aktivitets</w:t>
              </w:r>
              <w:proofErr w:type="spellEnd"/>
              <w:r w:rsidRPr="006F6B55">
                <w:rPr>
                  <w:lang w:val="en-US"/>
                </w:rPr>
                <w:t>-ID</w:t>
              </w:r>
            </w:hyperlink>
            <w:r>
              <w:rPr>
                <w:lang w:val="en-GB"/>
              </w:rPr>
              <w:t xml:space="preserve">: SE-0-SE-6-5502025402-ALB-15132 .  We could not find the reports on Openaid portal.  </w:t>
            </w:r>
          </w:p>
          <w:p w14:paraId="06FD445E" w14:textId="77777777" w:rsidR="00AF18F8" w:rsidRPr="006F6B55" w:rsidRDefault="00AF18F8" w:rsidP="00AF18F8">
            <w:pPr>
              <w:rPr>
                <w:lang w:val="en-US"/>
              </w:rPr>
            </w:pPr>
            <w:r>
              <w:rPr>
                <w:lang w:val="en-GB"/>
              </w:rPr>
              <w:t> </w:t>
            </w:r>
          </w:p>
          <w:p w14:paraId="3D3481D2" w14:textId="77777777" w:rsidR="00AF18F8" w:rsidRPr="006F6B55" w:rsidRDefault="00AF18F8" w:rsidP="00AF18F8">
            <w:pPr>
              <w:rPr>
                <w:lang w:val="en-US"/>
              </w:rPr>
            </w:pPr>
            <w:r>
              <w:rPr>
                <w:lang w:val="en-GB"/>
              </w:rPr>
              <w:t>We are requesting these documents as part of tendering process the Embassy of Sweden in Albania initiated for phase 3 of this programme.</w:t>
            </w:r>
          </w:p>
          <w:p w14:paraId="0FD86065" w14:textId="77777777" w:rsidR="00AF18F8" w:rsidRDefault="00AF18F8" w:rsidP="00AF18F8">
            <w:pPr>
              <w:pStyle w:val="Default"/>
              <w:rPr>
                <w:rFonts w:ascii="Calibri" w:eastAsia="Times New Roman" w:hAnsi="Calibri" w:cs="Calibri"/>
                <w:sz w:val="22"/>
                <w:szCs w:val="22"/>
                <w:lang w:val="en-US"/>
              </w:rPr>
            </w:pPr>
          </w:p>
          <w:p w14:paraId="7C866D50" w14:textId="77777777" w:rsidR="001C1CF6" w:rsidRDefault="001C1CF6" w:rsidP="00AF18F8">
            <w:pPr>
              <w:pStyle w:val="Default"/>
              <w:rPr>
                <w:rFonts w:ascii="Calibri" w:eastAsia="Times New Roman" w:hAnsi="Calibri" w:cs="Calibri"/>
                <w:sz w:val="22"/>
                <w:szCs w:val="22"/>
                <w:lang w:val="en-US"/>
              </w:rPr>
            </w:pPr>
          </w:p>
          <w:p w14:paraId="67731261" w14:textId="77777777" w:rsidR="001C1CF6" w:rsidRPr="006F6B55" w:rsidRDefault="001C1CF6" w:rsidP="00AF18F8">
            <w:pPr>
              <w:pStyle w:val="Default"/>
              <w:rPr>
                <w:rFonts w:ascii="Calibri" w:eastAsia="Times New Roman" w:hAnsi="Calibri" w:cs="Calibri"/>
                <w:sz w:val="22"/>
                <w:szCs w:val="22"/>
                <w:lang w:val="en-US"/>
              </w:rPr>
            </w:pPr>
          </w:p>
        </w:tc>
        <w:tc>
          <w:tcPr>
            <w:tcW w:w="4819" w:type="dxa"/>
          </w:tcPr>
          <w:p w14:paraId="449511CB" w14:textId="293CB1E5" w:rsidR="00AF18F8" w:rsidRDefault="00AF18F8" w:rsidP="00AF18F8">
            <w:pPr>
              <w:rPr>
                <w:lang w:val="en-GB"/>
              </w:rPr>
            </w:pPr>
            <w:r>
              <w:rPr>
                <w:lang w:val="en-GB"/>
              </w:rPr>
              <w:t xml:space="preserve">The final reports for both Phases 1 and 2 and  progress report for Phase 2 are provided to bidders via the Embassy’s web site along with these answers to bidders’ questions. </w:t>
            </w:r>
          </w:p>
        </w:tc>
      </w:tr>
      <w:tr w:rsidR="00C37D47" w:rsidRPr="00827568" w14:paraId="2F0E6036" w14:textId="77777777" w:rsidTr="00DF03E1">
        <w:tc>
          <w:tcPr>
            <w:tcW w:w="562" w:type="dxa"/>
          </w:tcPr>
          <w:p w14:paraId="4E6F3932" w14:textId="77777777" w:rsidR="00C37D47" w:rsidRDefault="00C37D47" w:rsidP="00AF18F8">
            <w:pPr>
              <w:rPr>
                <w:lang w:val="en-GB"/>
              </w:rPr>
            </w:pPr>
          </w:p>
        </w:tc>
        <w:tc>
          <w:tcPr>
            <w:tcW w:w="4962" w:type="dxa"/>
          </w:tcPr>
          <w:p w14:paraId="1BF21639" w14:textId="20A8BA8B" w:rsidR="00C37D47" w:rsidRPr="00AA236E" w:rsidRDefault="0060476B" w:rsidP="00AF18F8">
            <w:pPr>
              <w:rPr>
                <w:b/>
                <w:bCs/>
                <w:lang w:val="en-GB"/>
              </w:rPr>
            </w:pPr>
            <w:r>
              <w:rPr>
                <w:b/>
                <w:bCs/>
                <w:lang w:val="en-GB"/>
              </w:rPr>
              <w:t>Issue</w:t>
            </w:r>
          </w:p>
        </w:tc>
        <w:tc>
          <w:tcPr>
            <w:tcW w:w="4819" w:type="dxa"/>
          </w:tcPr>
          <w:p w14:paraId="314B4121" w14:textId="6B8D9546" w:rsidR="00C37D47" w:rsidRPr="0060476B" w:rsidRDefault="0060476B" w:rsidP="00AF18F8">
            <w:pPr>
              <w:rPr>
                <w:b/>
                <w:bCs/>
                <w:lang w:val="en-GB"/>
              </w:rPr>
            </w:pPr>
            <w:r w:rsidRPr="0060476B">
              <w:rPr>
                <w:b/>
                <w:bCs/>
                <w:lang w:val="en-GB"/>
              </w:rPr>
              <w:t>Clarification</w:t>
            </w:r>
          </w:p>
        </w:tc>
      </w:tr>
      <w:tr w:rsidR="00C37D47" w:rsidRPr="0060476B" w14:paraId="53FEDC57" w14:textId="77777777" w:rsidTr="00DF03E1">
        <w:tc>
          <w:tcPr>
            <w:tcW w:w="562" w:type="dxa"/>
          </w:tcPr>
          <w:p w14:paraId="64EC7402" w14:textId="7EAD350D" w:rsidR="00C37D47" w:rsidRDefault="002A4746" w:rsidP="00AF18F8">
            <w:pPr>
              <w:rPr>
                <w:lang w:val="en-GB"/>
              </w:rPr>
            </w:pPr>
            <w:r>
              <w:rPr>
                <w:lang w:val="en-GB"/>
              </w:rPr>
              <w:t>1</w:t>
            </w:r>
          </w:p>
        </w:tc>
        <w:tc>
          <w:tcPr>
            <w:tcW w:w="4962" w:type="dxa"/>
          </w:tcPr>
          <w:p w14:paraId="5E2B6012" w14:textId="54F53360" w:rsidR="00C37D47" w:rsidRDefault="00FE7709" w:rsidP="00AF18F8">
            <w:pPr>
              <w:rPr>
                <w:lang w:val="en-GB"/>
              </w:rPr>
            </w:pPr>
            <w:r>
              <w:rPr>
                <w:rFonts w:ascii="Arial" w:hAnsi="Arial" w:cs="Arial"/>
                <w:sz w:val="20"/>
                <w:szCs w:val="20"/>
                <w:lang w:val="en-US"/>
              </w:rPr>
              <w:t xml:space="preserve">In the Terms of </w:t>
            </w:r>
            <w:r w:rsidR="001C1CF6">
              <w:rPr>
                <w:rFonts w:ascii="Arial" w:hAnsi="Arial" w:cs="Arial"/>
                <w:sz w:val="20"/>
                <w:szCs w:val="20"/>
                <w:lang w:val="en-US"/>
              </w:rPr>
              <w:t>Reference,</w:t>
            </w:r>
            <w:r>
              <w:rPr>
                <w:rFonts w:ascii="Arial" w:hAnsi="Arial" w:cs="Arial"/>
                <w:sz w:val="20"/>
                <w:szCs w:val="20"/>
                <w:lang w:val="en-US"/>
              </w:rPr>
              <w:t xml:space="preserve"> </w:t>
            </w:r>
            <w:r w:rsidR="00E346A8">
              <w:rPr>
                <w:rFonts w:ascii="Arial" w:hAnsi="Arial" w:cs="Arial"/>
                <w:sz w:val="20"/>
                <w:szCs w:val="20"/>
                <w:lang w:val="en-US"/>
              </w:rPr>
              <w:t>the service time</w:t>
            </w:r>
            <w:r w:rsidR="00D768DC">
              <w:rPr>
                <w:rFonts w:ascii="Arial" w:hAnsi="Arial" w:cs="Arial"/>
                <w:sz w:val="20"/>
                <w:szCs w:val="20"/>
                <w:lang w:val="en-US"/>
              </w:rPr>
              <w:t>s</w:t>
            </w:r>
            <w:r w:rsidR="00E346A8">
              <w:rPr>
                <w:rFonts w:ascii="Arial" w:hAnsi="Arial" w:cs="Arial"/>
                <w:sz w:val="20"/>
                <w:szCs w:val="20"/>
                <w:lang w:val="en-US"/>
              </w:rPr>
              <w:t xml:space="preserve"> for the International Police Advisor and the Monitoring and </w:t>
            </w:r>
            <w:r>
              <w:rPr>
                <w:rFonts w:ascii="Arial" w:hAnsi="Arial" w:cs="Arial"/>
                <w:sz w:val="20"/>
                <w:szCs w:val="20"/>
                <w:lang w:val="en-US"/>
              </w:rPr>
              <w:t>E</w:t>
            </w:r>
            <w:r w:rsidR="00E346A8">
              <w:rPr>
                <w:rFonts w:ascii="Arial" w:hAnsi="Arial" w:cs="Arial"/>
                <w:sz w:val="20"/>
                <w:szCs w:val="20"/>
                <w:lang w:val="en-US"/>
              </w:rPr>
              <w:t>valuation expert</w:t>
            </w:r>
            <w:r w:rsidR="008F0AA6">
              <w:rPr>
                <w:rFonts w:ascii="Arial" w:hAnsi="Arial" w:cs="Arial"/>
                <w:sz w:val="20"/>
                <w:szCs w:val="20"/>
                <w:lang w:val="en-US"/>
              </w:rPr>
              <w:t xml:space="preserve"> are stated</w:t>
            </w:r>
            <w:r w:rsidR="000F6A16">
              <w:rPr>
                <w:rFonts w:ascii="Arial" w:hAnsi="Arial" w:cs="Arial"/>
                <w:sz w:val="20"/>
                <w:szCs w:val="20"/>
                <w:lang w:val="en-US"/>
              </w:rPr>
              <w:t xml:space="preserve"> </w:t>
            </w:r>
            <w:r w:rsidR="0060476B">
              <w:rPr>
                <w:rFonts w:ascii="Arial" w:hAnsi="Arial" w:cs="Arial"/>
                <w:sz w:val="20"/>
                <w:szCs w:val="20"/>
                <w:lang w:val="en-US"/>
              </w:rPr>
              <w:t xml:space="preserve">differently </w:t>
            </w:r>
            <w:r w:rsidR="000F6A16">
              <w:rPr>
                <w:rFonts w:ascii="Arial" w:hAnsi="Arial" w:cs="Arial"/>
                <w:sz w:val="20"/>
                <w:szCs w:val="20"/>
                <w:lang w:val="en-US"/>
              </w:rPr>
              <w:t>in</w:t>
            </w:r>
            <w:r w:rsidR="00E346A8">
              <w:rPr>
                <w:rFonts w:ascii="Arial" w:hAnsi="Arial" w:cs="Arial"/>
                <w:sz w:val="20"/>
                <w:szCs w:val="20"/>
                <w:lang w:val="en-US"/>
              </w:rPr>
              <w:t xml:space="preserve"> </w:t>
            </w:r>
            <w:r w:rsidR="00937DDE">
              <w:rPr>
                <w:rFonts w:ascii="Arial" w:hAnsi="Arial" w:cs="Arial"/>
                <w:sz w:val="20"/>
                <w:szCs w:val="20"/>
                <w:lang w:val="en-US"/>
              </w:rPr>
              <w:t xml:space="preserve">Section </w:t>
            </w:r>
            <w:r w:rsidR="00BC1E6F">
              <w:rPr>
                <w:rFonts w:ascii="Arial" w:hAnsi="Arial" w:cs="Arial"/>
                <w:sz w:val="20"/>
                <w:szCs w:val="20"/>
                <w:lang w:val="en-US"/>
              </w:rPr>
              <w:t>4.1</w:t>
            </w:r>
            <w:r w:rsidR="00E346A8">
              <w:rPr>
                <w:rFonts w:ascii="Arial" w:hAnsi="Arial" w:cs="Arial"/>
                <w:sz w:val="20"/>
                <w:szCs w:val="20"/>
                <w:lang w:val="en-US"/>
              </w:rPr>
              <w:t xml:space="preserve"> and </w:t>
            </w:r>
            <w:r w:rsidR="00BC1E6F">
              <w:rPr>
                <w:rFonts w:ascii="Arial" w:hAnsi="Arial" w:cs="Arial"/>
                <w:sz w:val="20"/>
                <w:szCs w:val="20"/>
                <w:lang w:val="en-US"/>
              </w:rPr>
              <w:t>Section 4.3</w:t>
            </w:r>
            <w:r w:rsidR="008F0AA6">
              <w:rPr>
                <w:rFonts w:ascii="Arial" w:hAnsi="Arial" w:cs="Arial"/>
                <w:sz w:val="20"/>
                <w:szCs w:val="20"/>
                <w:lang w:val="en-US"/>
              </w:rPr>
              <w:t>.</w:t>
            </w:r>
          </w:p>
        </w:tc>
        <w:tc>
          <w:tcPr>
            <w:tcW w:w="4819" w:type="dxa"/>
          </w:tcPr>
          <w:p w14:paraId="407F6CC4" w14:textId="77777777" w:rsidR="00937DDE" w:rsidRPr="009266F4" w:rsidRDefault="00937DDE" w:rsidP="00937DDE">
            <w:pPr>
              <w:rPr>
                <w:rFonts w:ascii="Arial" w:hAnsi="Arial" w:cs="Arial"/>
                <w:b/>
                <w:bCs/>
                <w:u w:val="single"/>
                <w:lang w:val="en-US"/>
              </w:rPr>
            </w:pPr>
            <w:r w:rsidRPr="0060476B">
              <w:rPr>
                <w:rFonts w:ascii="Arial" w:hAnsi="Arial" w:cs="Arial"/>
                <w:i/>
                <w:iCs/>
                <w:lang w:val="en-US"/>
              </w:rPr>
              <w:t>International Policing Advisor</w:t>
            </w:r>
            <w:r w:rsidRPr="009266F4">
              <w:rPr>
                <w:rFonts w:ascii="Arial" w:hAnsi="Arial" w:cs="Arial"/>
                <w:b/>
                <w:bCs/>
                <w:u w:val="single"/>
                <w:lang w:val="en-US"/>
              </w:rPr>
              <w:t xml:space="preserve">: </w:t>
            </w:r>
          </w:p>
          <w:p w14:paraId="3B1B9630" w14:textId="53F054D1" w:rsidR="00937DDE" w:rsidRPr="0060476B" w:rsidRDefault="00937DDE" w:rsidP="00937DDE">
            <w:pPr>
              <w:rPr>
                <w:rFonts w:ascii="Arial" w:hAnsi="Arial" w:cs="Arial"/>
                <w:b/>
                <w:bCs/>
                <w:lang w:val="en-US"/>
              </w:rPr>
            </w:pPr>
            <w:r w:rsidRPr="0060476B">
              <w:rPr>
                <w:rFonts w:ascii="Arial" w:hAnsi="Arial" w:cs="Arial"/>
                <w:lang w:val="en-US"/>
              </w:rPr>
              <w:t>The position</w:t>
            </w:r>
            <w:r w:rsidRPr="0060476B">
              <w:rPr>
                <w:rFonts w:ascii="Arial" w:hAnsi="Arial" w:cs="Arial"/>
                <w:b/>
                <w:bCs/>
                <w:lang w:val="en-US"/>
              </w:rPr>
              <w:t xml:space="preserve"> is part-time (50%) for the whole </w:t>
            </w:r>
            <w:proofErr w:type="gramStart"/>
            <w:r w:rsidRPr="0060476B">
              <w:rPr>
                <w:rFonts w:ascii="Arial" w:hAnsi="Arial" w:cs="Arial"/>
                <w:b/>
                <w:bCs/>
                <w:lang w:val="en-US"/>
              </w:rPr>
              <w:t>5 year</w:t>
            </w:r>
            <w:proofErr w:type="gramEnd"/>
            <w:r w:rsidRPr="0060476B">
              <w:rPr>
                <w:rFonts w:ascii="Arial" w:hAnsi="Arial" w:cs="Arial"/>
                <w:b/>
                <w:bCs/>
                <w:lang w:val="en-US"/>
              </w:rPr>
              <w:t xml:space="preserve"> period.</w:t>
            </w:r>
          </w:p>
          <w:p w14:paraId="3508975B" w14:textId="77777777" w:rsidR="00D768DC" w:rsidRDefault="00D768DC" w:rsidP="00937DDE">
            <w:pPr>
              <w:rPr>
                <w:rFonts w:ascii="Arial" w:hAnsi="Arial" w:cs="Arial"/>
                <w:b/>
                <w:bCs/>
                <w:u w:val="single"/>
                <w:lang w:val="en-US"/>
              </w:rPr>
            </w:pPr>
          </w:p>
          <w:p w14:paraId="2CBD6D1F" w14:textId="59D77E78" w:rsidR="00CD5FAD" w:rsidRPr="0060476B" w:rsidRDefault="00CD5FAD" w:rsidP="00CD5FAD">
            <w:pPr>
              <w:rPr>
                <w:rFonts w:ascii="Arial" w:hAnsi="Arial" w:cs="Arial"/>
                <w:i/>
                <w:iCs/>
                <w:lang w:val="en-US"/>
              </w:rPr>
            </w:pPr>
            <w:r w:rsidRPr="0060476B">
              <w:rPr>
                <w:rFonts w:ascii="Arial" w:hAnsi="Arial" w:cs="Arial"/>
                <w:i/>
                <w:iCs/>
                <w:lang w:val="en-US"/>
              </w:rPr>
              <w:t xml:space="preserve">Monitoring and Evaluation Expert: </w:t>
            </w:r>
          </w:p>
          <w:p w14:paraId="36E54F50" w14:textId="77777777" w:rsidR="00C37D47" w:rsidRDefault="00CD5FAD" w:rsidP="00CD5FAD">
            <w:pPr>
              <w:rPr>
                <w:rFonts w:ascii="Arial" w:hAnsi="Arial" w:cs="Arial"/>
                <w:lang w:val="en-US"/>
              </w:rPr>
            </w:pPr>
            <w:r w:rsidRPr="009266F4">
              <w:rPr>
                <w:rFonts w:ascii="Arial" w:hAnsi="Arial" w:cs="Arial"/>
                <w:lang w:val="en-US"/>
              </w:rPr>
              <w:t>The</w:t>
            </w:r>
            <w:r>
              <w:rPr>
                <w:rFonts w:ascii="Arial" w:hAnsi="Arial" w:cs="Arial"/>
                <w:lang w:val="en-US"/>
              </w:rPr>
              <w:t xml:space="preserve"> position </w:t>
            </w:r>
            <w:r w:rsidRPr="0060476B">
              <w:rPr>
                <w:rFonts w:ascii="Arial" w:hAnsi="Arial" w:cs="Arial"/>
                <w:b/>
                <w:bCs/>
                <w:lang w:val="en-US"/>
              </w:rPr>
              <w:t>is full-time for the first year and part-time (50%) for the remaining 4 years</w:t>
            </w:r>
            <w:r>
              <w:rPr>
                <w:rFonts w:ascii="Arial" w:hAnsi="Arial" w:cs="Arial"/>
                <w:lang w:val="en-US"/>
              </w:rPr>
              <w:t>.</w:t>
            </w:r>
          </w:p>
          <w:p w14:paraId="4111693B" w14:textId="7A101540" w:rsidR="00D768DC" w:rsidRDefault="00D768DC" w:rsidP="00CD5FAD">
            <w:pPr>
              <w:rPr>
                <w:lang w:val="en-GB"/>
              </w:rPr>
            </w:pPr>
          </w:p>
        </w:tc>
      </w:tr>
    </w:tbl>
    <w:p w14:paraId="7D6193D9" w14:textId="77777777" w:rsidR="007B2760" w:rsidRPr="006521ED" w:rsidRDefault="007B2760">
      <w:pPr>
        <w:rPr>
          <w:lang w:val="en-GB"/>
        </w:rPr>
      </w:pPr>
    </w:p>
    <w:sectPr w:rsidR="007B2760" w:rsidRPr="006521ED" w:rsidSect="00DF03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905"/>
    <w:multiLevelType w:val="hybridMultilevel"/>
    <w:tmpl w:val="666CAF04"/>
    <w:lvl w:ilvl="0" w:tplc="FFFFFFFF">
      <w:start w:val="1"/>
      <w:numFmt w:val="decimal"/>
      <w:lvlText w:val="%1."/>
      <w:lvlJc w:val="left"/>
      <w:pPr>
        <w:ind w:left="720" w:hanging="360"/>
      </w:pPr>
      <w:rPr>
        <w:sz w:val="23"/>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831681A"/>
    <w:multiLevelType w:val="hybridMultilevel"/>
    <w:tmpl w:val="02A01E4A"/>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102E28"/>
    <w:multiLevelType w:val="hybridMultilevel"/>
    <w:tmpl w:val="25102354"/>
    <w:lvl w:ilvl="0" w:tplc="3A9246E8">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8A1C47"/>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CC2B6F"/>
    <w:multiLevelType w:val="multilevel"/>
    <w:tmpl w:val="05B69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4A2539"/>
    <w:multiLevelType w:val="hybridMultilevel"/>
    <w:tmpl w:val="666CAF04"/>
    <w:lvl w:ilvl="0" w:tplc="0809000F">
      <w:start w:val="1"/>
      <w:numFmt w:val="decimal"/>
      <w:lvlText w:val="%1."/>
      <w:lvlJc w:val="left"/>
      <w:pPr>
        <w:ind w:left="720" w:hanging="360"/>
      </w:pPr>
      <w:rPr>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43106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30681">
    <w:abstractNumId w:val="1"/>
  </w:num>
  <w:num w:numId="3" w16cid:durableId="1619602328">
    <w:abstractNumId w:val="2"/>
  </w:num>
  <w:num w:numId="4" w16cid:durableId="26181379">
    <w:abstractNumId w:val="5"/>
  </w:num>
  <w:num w:numId="5" w16cid:durableId="1812363517">
    <w:abstractNumId w:val="0"/>
  </w:num>
  <w:num w:numId="6" w16cid:durableId="17783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549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0"/>
    <w:rsid w:val="00001941"/>
    <w:rsid w:val="00005DB4"/>
    <w:rsid w:val="00021AF4"/>
    <w:rsid w:val="00023C16"/>
    <w:rsid w:val="000661C9"/>
    <w:rsid w:val="0007780C"/>
    <w:rsid w:val="00081611"/>
    <w:rsid w:val="0009283A"/>
    <w:rsid w:val="00097C9E"/>
    <w:rsid w:val="000B58F5"/>
    <w:rsid w:val="000E2C12"/>
    <w:rsid w:val="000F6A16"/>
    <w:rsid w:val="001369A4"/>
    <w:rsid w:val="00144130"/>
    <w:rsid w:val="00196198"/>
    <w:rsid w:val="001A43CE"/>
    <w:rsid w:val="001B4988"/>
    <w:rsid w:val="001B7A55"/>
    <w:rsid w:val="001C1CF6"/>
    <w:rsid w:val="001D3833"/>
    <w:rsid w:val="001F4782"/>
    <w:rsid w:val="001F64AC"/>
    <w:rsid w:val="00266E84"/>
    <w:rsid w:val="00281EB8"/>
    <w:rsid w:val="002A4746"/>
    <w:rsid w:val="002B670C"/>
    <w:rsid w:val="002C39D4"/>
    <w:rsid w:val="002C7011"/>
    <w:rsid w:val="002C7BC7"/>
    <w:rsid w:val="002D309B"/>
    <w:rsid w:val="002F4A70"/>
    <w:rsid w:val="00306895"/>
    <w:rsid w:val="00326773"/>
    <w:rsid w:val="00333788"/>
    <w:rsid w:val="00345F9C"/>
    <w:rsid w:val="003A0BBA"/>
    <w:rsid w:val="003A2590"/>
    <w:rsid w:val="003B4611"/>
    <w:rsid w:val="003B7CB9"/>
    <w:rsid w:val="003C22D1"/>
    <w:rsid w:val="003E663D"/>
    <w:rsid w:val="00413A96"/>
    <w:rsid w:val="00423A41"/>
    <w:rsid w:val="00464C99"/>
    <w:rsid w:val="004666BB"/>
    <w:rsid w:val="00472EF7"/>
    <w:rsid w:val="0048030B"/>
    <w:rsid w:val="004C716D"/>
    <w:rsid w:val="004D3BA2"/>
    <w:rsid w:val="004D72F8"/>
    <w:rsid w:val="004E79B0"/>
    <w:rsid w:val="00500032"/>
    <w:rsid w:val="00532A6E"/>
    <w:rsid w:val="0053371E"/>
    <w:rsid w:val="0056115F"/>
    <w:rsid w:val="005771E4"/>
    <w:rsid w:val="005A6EE8"/>
    <w:rsid w:val="005B3B65"/>
    <w:rsid w:val="005C5CC1"/>
    <w:rsid w:val="0060476B"/>
    <w:rsid w:val="006047F7"/>
    <w:rsid w:val="00607043"/>
    <w:rsid w:val="006076E0"/>
    <w:rsid w:val="0061151E"/>
    <w:rsid w:val="00611CC2"/>
    <w:rsid w:val="0062143B"/>
    <w:rsid w:val="006312FD"/>
    <w:rsid w:val="006521ED"/>
    <w:rsid w:val="00654C2C"/>
    <w:rsid w:val="00657AB7"/>
    <w:rsid w:val="00660819"/>
    <w:rsid w:val="0066298B"/>
    <w:rsid w:val="00671107"/>
    <w:rsid w:val="0067496F"/>
    <w:rsid w:val="0068491E"/>
    <w:rsid w:val="00693D76"/>
    <w:rsid w:val="006A635A"/>
    <w:rsid w:val="006B4250"/>
    <w:rsid w:val="006D7FA4"/>
    <w:rsid w:val="006E18E7"/>
    <w:rsid w:val="006F6767"/>
    <w:rsid w:val="006F6B55"/>
    <w:rsid w:val="006F7448"/>
    <w:rsid w:val="0073054A"/>
    <w:rsid w:val="007845B3"/>
    <w:rsid w:val="007A12D0"/>
    <w:rsid w:val="007A3C1A"/>
    <w:rsid w:val="007B2760"/>
    <w:rsid w:val="007C4FB2"/>
    <w:rsid w:val="007D11C0"/>
    <w:rsid w:val="00806A81"/>
    <w:rsid w:val="008127DA"/>
    <w:rsid w:val="00821012"/>
    <w:rsid w:val="00827568"/>
    <w:rsid w:val="00864D4B"/>
    <w:rsid w:val="00866262"/>
    <w:rsid w:val="0087347F"/>
    <w:rsid w:val="00890286"/>
    <w:rsid w:val="00893F34"/>
    <w:rsid w:val="008C485A"/>
    <w:rsid w:val="008D16E3"/>
    <w:rsid w:val="008F0AA6"/>
    <w:rsid w:val="00916BB5"/>
    <w:rsid w:val="00932224"/>
    <w:rsid w:val="00937DDE"/>
    <w:rsid w:val="009624CC"/>
    <w:rsid w:val="009971ED"/>
    <w:rsid w:val="009C5601"/>
    <w:rsid w:val="009D6C6D"/>
    <w:rsid w:val="009E25BE"/>
    <w:rsid w:val="009E7FA7"/>
    <w:rsid w:val="00A03D30"/>
    <w:rsid w:val="00A3452D"/>
    <w:rsid w:val="00A37D70"/>
    <w:rsid w:val="00A77C7F"/>
    <w:rsid w:val="00A934BE"/>
    <w:rsid w:val="00AA236E"/>
    <w:rsid w:val="00AC172D"/>
    <w:rsid w:val="00AC1CF8"/>
    <w:rsid w:val="00AE1B27"/>
    <w:rsid w:val="00AE3B9D"/>
    <w:rsid w:val="00AF18F8"/>
    <w:rsid w:val="00B32AB6"/>
    <w:rsid w:val="00B350AD"/>
    <w:rsid w:val="00B46EFB"/>
    <w:rsid w:val="00B53908"/>
    <w:rsid w:val="00B57E4B"/>
    <w:rsid w:val="00B62765"/>
    <w:rsid w:val="00B6650C"/>
    <w:rsid w:val="00B72443"/>
    <w:rsid w:val="00B73259"/>
    <w:rsid w:val="00B90AAE"/>
    <w:rsid w:val="00BA0625"/>
    <w:rsid w:val="00BA50EC"/>
    <w:rsid w:val="00BA7D04"/>
    <w:rsid w:val="00BB476C"/>
    <w:rsid w:val="00BC1E43"/>
    <w:rsid w:val="00BC1E6F"/>
    <w:rsid w:val="00BD3892"/>
    <w:rsid w:val="00C03B20"/>
    <w:rsid w:val="00C14F24"/>
    <w:rsid w:val="00C20587"/>
    <w:rsid w:val="00C20FBF"/>
    <w:rsid w:val="00C37D47"/>
    <w:rsid w:val="00C4640A"/>
    <w:rsid w:val="00C610CD"/>
    <w:rsid w:val="00C65A6D"/>
    <w:rsid w:val="00C83A05"/>
    <w:rsid w:val="00CA42DC"/>
    <w:rsid w:val="00CB0FBB"/>
    <w:rsid w:val="00CD5FAD"/>
    <w:rsid w:val="00CF3C54"/>
    <w:rsid w:val="00D0019A"/>
    <w:rsid w:val="00D00D33"/>
    <w:rsid w:val="00D768DC"/>
    <w:rsid w:val="00D82EBF"/>
    <w:rsid w:val="00D84F81"/>
    <w:rsid w:val="00DC3526"/>
    <w:rsid w:val="00DD2FF1"/>
    <w:rsid w:val="00DF03E1"/>
    <w:rsid w:val="00DF61FB"/>
    <w:rsid w:val="00E33299"/>
    <w:rsid w:val="00E346A8"/>
    <w:rsid w:val="00E65747"/>
    <w:rsid w:val="00E75273"/>
    <w:rsid w:val="00E92F5D"/>
    <w:rsid w:val="00EA6D2B"/>
    <w:rsid w:val="00EC559E"/>
    <w:rsid w:val="00EC74E9"/>
    <w:rsid w:val="00EE2759"/>
    <w:rsid w:val="00F20BE4"/>
    <w:rsid w:val="00F240F8"/>
    <w:rsid w:val="00F3010A"/>
    <w:rsid w:val="00F43D49"/>
    <w:rsid w:val="00F55A08"/>
    <w:rsid w:val="00F67782"/>
    <w:rsid w:val="00F74D5E"/>
    <w:rsid w:val="00FA11F8"/>
    <w:rsid w:val="00FB132E"/>
    <w:rsid w:val="00FE45A0"/>
    <w:rsid w:val="00FE7709"/>
    <w:rsid w:val="00FF01B2"/>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35F3"/>
  <w15:chartTrackingRefBased/>
  <w15:docId w15:val="{392BDC40-2ADE-4D37-9E14-4F337533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t">
    <w:name w:val="fält"/>
    <w:basedOn w:val="DefaultParagraphFont"/>
    <w:rsid w:val="00306895"/>
    <w:rPr>
      <w:noProof w:val="0"/>
      <w:color w:val="auto"/>
      <w:lang w:val="sv-SE"/>
    </w:rPr>
  </w:style>
  <w:style w:type="paragraph" w:customStyle="1" w:styleId="elementtoproof">
    <w:name w:val="elementtoproof"/>
    <w:basedOn w:val="Normal"/>
    <w:rsid w:val="006521ED"/>
    <w:pPr>
      <w:spacing w:after="0" w:line="240" w:lineRule="auto"/>
    </w:pPr>
    <w:rPr>
      <w:rFonts w:ascii="Calibri" w:hAnsi="Calibri" w:cs="Calibri"/>
      <w:kern w:val="0"/>
      <w:lang w:eastAsia="fr-FR"/>
      <w14:ligatures w14:val="none"/>
    </w:rPr>
  </w:style>
  <w:style w:type="character" w:styleId="Hyperlink">
    <w:name w:val="Hyperlink"/>
    <w:basedOn w:val="DefaultParagraphFont"/>
    <w:uiPriority w:val="99"/>
    <w:semiHidden/>
    <w:unhideWhenUsed/>
    <w:rsid w:val="005C5CC1"/>
    <w:rPr>
      <w:color w:val="0563C1"/>
      <w:u w:val="single"/>
    </w:rPr>
  </w:style>
  <w:style w:type="paragraph" w:styleId="ListParagraph">
    <w:name w:val="List Paragraph"/>
    <w:basedOn w:val="Normal"/>
    <w:uiPriority w:val="34"/>
    <w:qFormat/>
    <w:rsid w:val="005C5CC1"/>
    <w:pPr>
      <w:spacing w:line="252" w:lineRule="auto"/>
      <w:ind w:left="720"/>
      <w:contextualSpacing/>
    </w:pPr>
    <w:rPr>
      <w:rFonts w:ascii="Calibri" w:hAnsi="Calibri" w:cs="Calibri"/>
      <w:kern w:val="0"/>
      <w:lang w:eastAsia="fr-FR"/>
    </w:rPr>
  </w:style>
  <w:style w:type="paragraph" w:customStyle="1" w:styleId="Default">
    <w:name w:val="Default"/>
    <w:basedOn w:val="Normal"/>
    <w:rsid w:val="005C5CC1"/>
    <w:pPr>
      <w:autoSpaceDE w:val="0"/>
      <w:autoSpaceDN w:val="0"/>
      <w:spacing w:after="0" w:line="240" w:lineRule="auto"/>
    </w:pPr>
    <w:rPr>
      <w:rFonts w:ascii="Arial" w:hAnsi="Arial" w:cs="Arial"/>
      <w:color w:val="000000"/>
      <w:kern w:val="0"/>
      <w:sz w:val="24"/>
      <w:szCs w:val="24"/>
      <w:lang w:eastAsia="fr-FR"/>
      <w14:ligatures w14:val="none"/>
    </w:rPr>
  </w:style>
  <w:style w:type="character" w:customStyle="1" w:styleId="ui-provider">
    <w:name w:val="ui-provider"/>
    <w:basedOn w:val="DefaultParagraphFont"/>
    <w:rsid w:val="00932224"/>
  </w:style>
  <w:style w:type="paragraph" w:styleId="Revision">
    <w:name w:val="Revision"/>
    <w:hidden/>
    <w:uiPriority w:val="99"/>
    <w:semiHidden/>
    <w:rsid w:val="00C61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794">
      <w:bodyDiv w:val="1"/>
      <w:marLeft w:val="0"/>
      <w:marRight w:val="0"/>
      <w:marTop w:val="0"/>
      <w:marBottom w:val="0"/>
      <w:divBdr>
        <w:top w:val="none" w:sz="0" w:space="0" w:color="auto"/>
        <w:left w:val="none" w:sz="0" w:space="0" w:color="auto"/>
        <w:bottom w:val="none" w:sz="0" w:space="0" w:color="auto"/>
        <w:right w:val="none" w:sz="0" w:space="0" w:color="auto"/>
      </w:divBdr>
    </w:div>
    <w:div w:id="420682799">
      <w:bodyDiv w:val="1"/>
      <w:marLeft w:val="0"/>
      <w:marRight w:val="0"/>
      <w:marTop w:val="0"/>
      <w:marBottom w:val="0"/>
      <w:divBdr>
        <w:top w:val="none" w:sz="0" w:space="0" w:color="auto"/>
        <w:left w:val="none" w:sz="0" w:space="0" w:color="auto"/>
        <w:bottom w:val="none" w:sz="0" w:space="0" w:color="auto"/>
        <w:right w:val="none" w:sz="0" w:space="0" w:color="auto"/>
      </w:divBdr>
    </w:div>
    <w:div w:id="501317419">
      <w:bodyDiv w:val="1"/>
      <w:marLeft w:val="0"/>
      <w:marRight w:val="0"/>
      <w:marTop w:val="0"/>
      <w:marBottom w:val="0"/>
      <w:divBdr>
        <w:top w:val="none" w:sz="0" w:space="0" w:color="auto"/>
        <w:left w:val="none" w:sz="0" w:space="0" w:color="auto"/>
        <w:bottom w:val="none" w:sz="0" w:space="0" w:color="auto"/>
        <w:right w:val="none" w:sz="0" w:space="0" w:color="auto"/>
      </w:divBdr>
    </w:div>
    <w:div w:id="651832209">
      <w:bodyDiv w:val="1"/>
      <w:marLeft w:val="0"/>
      <w:marRight w:val="0"/>
      <w:marTop w:val="0"/>
      <w:marBottom w:val="0"/>
      <w:divBdr>
        <w:top w:val="none" w:sz="0" w:space="0" w:color="auto"/>
        <w:left w:val="none" w:sz="0" w:space="0" w:color="auto"/>
        <w:bottom w:val="none" w:sz="0" w:space="0" w:color="auto"/>
        <w:right w:val="none" w:sz="0" w:space="0" w:color="auto"/>
      </w:divBdr>
    </w:div>
    <w:div w:id="1121148742">
      <w:bodyDiv w:val="1"/>
      <w:marLeft w:val="0"/>
      <w:marRight w:val="0"/>
      <w:marTop w:val="0"/>
      <w:marBottom w:val="0"/>
      <w:divBdr>
        <w:top w:val="none" w:sz="0" w:space="0" w:color="auto"/>
        <w:left w:val="none" w:sz="0" w:space="0" w:color="auto"/>
        <w:bottom w:val="none" w:sz="0" w:space="0" w:color="auto"/>
        <w:right w:val="none" w:sz="0" w:space="0" w:color="auto"/>
      </w:divBdr>
    </w:div>
    <w:div w:id="1229877228">
      <w:bodyDiv w:val="1"/>
      <w:marLeft w:val="0"/>
      <w:marRight w:val="0"/>
      <w:marTop w:val="0"/>
      <w:marBottom w:val="0"/>
      <w:divBdr>
        <w:top w:val="none" w:sz="0" w:space="0" w:color="auto"/>
        <w:left w:val="none" w:sz="0" w:space="0" w:color="auto"/>
        <w:bottom w:val="none" w:sz="0" w:space="0" w:color="auto"/>
        <w:right w:val="none" w:sz="0" w:space="0" w:color="auto"/>
      </w:divBdr>
    </w:div>
    <w:div w:id="1399589665">
      <w:bodyDiv w:val="1"/>
      <w:marLeft w:val="0"/>
      <w:marRight w:val="0"/>
      <w:marTop w:val="0"/>
      <w:marBottom w:val="0"/>
      <w:divBdr>
        <w:top w:val="none" w:sz="0" w:space="0" w:color="auto"/>
        <w:left w:val="none" w:sz="0" w:space="0" w:color="auto"/>
        <w:bottom w:val="none" w:sz="0" w:space="0" w:color="auto"/>
        <w:right w:val="none" w:sz="0" w:space="0" w:color="auto"/>
      </w:divBdr>
    </w:div>
    <w:div w:id="1851139260">
      <w:bodyDiv w:val="1"/>
      <w:marLeft w:val="0"/>
      <w:marRight w:val="0"/>
      <w:marTop w:val="0"/>
      <w:marBottom w:val="0"/>
      <w:divBdr>
        <w:top w:val="none" w:sz="0" w:space="0" w:color="auto"/>
        <w:left w:val="none" w:sz="0" w:space="0" w:color="auto"/>
        <w:bottom w:val="none" w:sz="0" w:space="0" w:color="auto"/>
        <w:right w:val="none" w:sz="0" w:space="0" w:color="auto"/>
      </w:divBdr>
    </w:div>
    <w:div w:id="1856118388">
      <w:bodyDiv w:val="1"/>
      <w:marLeft w:val="0"/>
      <w:marRight w:val="0"/>
      <w:marTop w:val="0"/>
      <w:marBottom w:val="0"/>
      <w:divBdr>
        <w:top w:val="none" w:sz="0" w:space="0" w:color="auto"/>
        <w:left w:val="none" w:sz="0" w:space="0" w:color="auto"/>
        <w:bottom w:val="none" w:sz="0" w:space="0" w:color="auto"/>
        <w:right w:val="none" w:sz="0" w:space="0" w:color="auto"/>
      </w:divBdr>
    </w:div>
    <w:div w:id="1880166313">
      <w:bodyDiv w:val="1"/>
      <w:marLeft w:val="0"/>
      <w:marRight w:val="0"/>
      <w:marTop w:val="0"/>
      <w:marBottom w:val="0"/>
      <w:divBdr>
        <w:top w:val="none" w:sz="0" w:space="0" w:color="auto"/>
        <w:left w:val="none" w:sz="0" w:space="0" w:color="auto"/>
        <w:bottom w:val="none" w:sz="0" w:space="0" w:color="auto"/>
        <w:right w:val="none" w:sz="0" w:space="0" w:color="auto"/>
      </w:divBdr>
    </w:div>
    <w:div w:id="19627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url11.mailanyone.net%2Fscanner%3Fm%3D1rD5Jf-00060p-5z%26d%3D4%257Cmail%252F14%252F1702396800%252F1rD5Jf-00060p-5z%257Cin11f%257C57e1b682%257C12516782%257C9183517%257C6578859FAC5D78F0BB718BDABDC221D4%26o%3D%252Fphtp%253A%252Fotseiena.s%252Fadevct%252Ftisii-0SE-SE6--42552250001B-A2153L-%26s%3DVPQLJAtOw-rYz8pAEliNaQRqZps&amp;data=05%7C02%7C%7Cd9f23cb87ec04ffa3cbd08dbffd8a795%7C84df9e7fe9f640afb435aaaaaaaaaaaa%7C1%7C0%7C638385078217036457%7CUnknown%7CTWFpbGZsb3d8eyJWIjoiMC4wLjAwMDAiLCJQIjoiV2luMzIiLCJBTiI6Ik1haWwiLCJXVCI6Mn0%3D%7C3000%7C%7C%7C&amp;sdata=3z1CHXYlChqSRvwW0F8Kb5Q53BtCYU0oPpL%2BrnaHg8U%3D&amp;reserved=0" TargetMode="External"/><Relationship Id="rId5" Type="http://schemas.openxmlformats.org/officeDocument/2006/relationships/hyperlink" Target="mailto:ambassaden.tirana@gov.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8855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Breyer</dc:creator>
  <cp:keywords/>
  <dc:description/>
  <cp:lastModifiedBy>Kenneth Breyer</cp:lastModifiedBy>
  <cp:revision>3</cp:revision>
  <dcterms:created xsi:type="dcterms:W3CDTF">2023-12-20T09:36:00Z</dcterms:created>
  <dcterms:modified xsi:type="dcterms:W3CDTF">2023-12-20T09:37:00Z</dcterms:modified>
</cp:coreProperties>
</file>