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A4BA7" w14:textId="77777777" w:rsidR="00306895" w:rsidRPr="00821012" w:rsidRDefault="00306895" w:rsidP="00306895">
      <w:pPr>
        <w:tabs>
          <w:tab w:val="right" w:pos="7655"/>
        </w:tabs>
        <w:spacing w:before="360" w:after="360"/>
        <w:jc w:val="both"/>
        <w:rPr>
          <w:rStyle w:val="flt"/>
          <w:rFonts w:ascii="Arial" w:hAnsi="Arial" w:cs="Arial"/>
          <w:b/>
          <w:szCs w:val="24"/>
          <w:lang w:val="en-US"/>
        </w:rPr>
      </w:pPr>
      <w:r w:rsidRPr="00821012">
        <w:rPr>
          <w:rStyle w:val="flt"/>
          <w:rFonts w:ascii="Arial" w:hAnsi="Arial" w:cs="Arial"/>
          <w:b/>
          <w:szCs w:val="24"/>
          <w:lang w:val="en-US"/>
        </w:rPr>
        <w:t>STRENGTHENING COMMUNITY POLICING IN ALBANIA, PHASE 3, PROGRAM IMPLEMENTATION, 2024-2030</w:t>
      </w:r>
    </w:p>
    <w:p w14:paraId="22A2D659" w14:textId="77777777" w:rsidR="00821012" w:rsidRPr="00821012" w:rsidRDefault="00821012" w:rsidP="00821012">
      <w:pPr>
        <w:autoSpaceDE w:val="0"/>
        <w:autoSpaceDN w:val="0"/>
        <w:adjustRightInd w:val="0"/>
        <w:rPr>
          <w:rFonts w:asciiTheme="majorHAnsi" w:eastAsia="Calibri" w:hAnsiTheme="majorHAnsi" w:cstheme="majorHAnsi"/>
          <w:b/>
          <w:i/>
          <w:color w:val="FF0000"/>
          <w:sz w:val="28"/>
          <w:szCs w:val="28"/>
          <w:lang w:val="en-GB" w:bidi="en-GB"/>
        </w:rPr>
      </w:pPr>
      <w:r w:rsidRPr="00821012">
        <w:rPr>
          <w:rStyle w:val="flt"/>
          <w:rFonts w:ascii="Arial" w:hAnsi="Arial" w:cs="Arial"/>
          <w:b/>
          <w:lang w:val="en-US"/>
        </w:rPr>
        <w:t>UM2023/30292/TIRA</w:t>
      </w:r>
    </w:p>
    <w:p w14:paraId="557CF007" w14:textId="77777777" w:rsidR="0009283A" w:rsidRPr="00821012" w:rsidRDefault="0009283A">
      <w:pPr>
        <w:rPr>
          <w:b/>
          <w:lang w:val="en-GB"/>
        </w:rPr>
      </w:pPr>
    </w:p>
    <w:p w14:paraId="3AF2CF2C" w14:textId="3BFA509B" w:rsidR="007B2760" w:rsidRPr="002B670C" w:rsidRDefault="009D14C3">
      <w:pPr>
        <w:rPr>
          <w:b/>
          <w:lang w:val="en-GB"/>
        </w:rPr>
      </w:pPr>
      <w:r>
        <w:rPr>
          <w:b/>
          <w:lang w:val="en-GB"/>
        </w:rPr>
        <w:t xml:space="preserve">Second </w:t>
      </w:r>
      <w:r w:rsidR="0066298B">
        <w:rPr>
          <w:b/>
          <w:lang w:val="en-GB"/>
        </w:rPr>
        <w:t xml:space="preserve">Interim </w:t>
      </w:r>
      <w:r w:rsidR="005A6EE8" w:rsidRPr="002B670C">
        <w:rPr>
          <w:b/>
          <w:lang w:val="en-GB"/>
        </w:rPr>
        <w:t>Answers to Bidder</w:t>
      </w:r>
      <w:r w:rsidR="00F74D5E" w:rsidRPr="002B670C">
        <w:rPr>
          <w:b/>
          <w:lang w:val="en-GB"/>
        </w:rPr>
        <w:t>s’</w:t>
      </w:r>
      <w:r w:rsidR="005A6EE8" w:rsidRPr="002B670C">
        <w:rPr>
          <w:b/>
          <w:lang w:val="en-GB"/>
        </w:rPr>
        <w:t xml:space="preserve"> Questions</w:t>
      </w:r>
      <w:r w:rsidR="0066298B">
        <w:rPr>
          <w:b/>
          <w:lang w:val="en-GB"/>
        </w:rPr>
        <w:t xml:space="preserve"> </w:t>
      </w:r>
    </w:p>
    <w:p w14:paraId="51D014EF" w14:textId="77777777" w:rsidR="007B2760" w:rsidRPr="002B670C" w:rsidRDefault="007B2760">
      <w:pPr>
        <w:rPr>
          <w:lang w:val="en-GB"/>
        </w:rPr>
      </w:pPr>
    </w:p>
    <w:tbl>
      <w:tblPr>
        <w:tblStyle w:val="TableGrid"/>
        <w:tblW w:w="0" w:type="auto"/>
        <w:tblLook w:val="04A0" w:firstRow="1" w:lastRow="0" w:firstColumn="1" w:lastColumn="0" w:noHBand="0" w:noVBand="1"/>
      </w:tblPr>
      <w:tblGrid>
        <w:gridCol w:w="562"/>
        <w:gridCol w:w="4962"/>
        <w:gridCol w:w="5244"/>
      </w:tblGrid>
      <w:tr w:rsidR="00464C99" w14:paraId="1AA6F17C" w14:textId="77777777" w:rsidTr="00284A07">
        <w:tc>
          <w:tcPr>
            <w:tcW w:w="562" w:type="dxa"/>
          </w:tcPr>
          <w:p w14:paraId="53151B84" w14:textId="30B77606" w:rsidR="00464C99" w:rsidRPr="00821012" w:rsidRDefault="00464C99">
            <w:pPr>
              <w:rPr>
                <w:b/>
                <w:bCs/>
              </w:rPr>
            </w:pPr>
            <w:r w:rsidRPr="00821012">
              <w:rPr>
                <w:b/>
                <w:bCs/>
              </w:rPr>
              <w:t>No.</w:t>
            </w:r>
          </w:p>
        </w:tc>
        <w:tc>
          <w:tcPr>
            <w:tcW w:w="4962" w:type="dxa"/>
          </w:tcPr>
          <w:p w14:paraId="6BCD8060" w14:textId="2EED1F6E" w:rsidR="00464C99" w:rsidRPr="00821012" w:rsidRDefault="00464C99">
            <w:pPr>
              <w:rPr>
                <w:b/>
                <w:bCs/>
              </w:rPr>
            </w:pPr>
            <w:r w:rsidRPr="00821012">
              <w:rPr>
                <w:b/>
                <w:bCs/>
              </w:rPr>
              <w:t>Question</w:t>
            </w:r>
          </w:p>
        </w:tc>
        <w:tc>
          <w:tcPr>
            <w:tcW w:w="5244" w:type="dxa"/>
          </w:tcPr>
          <w:p w14:paraId="45C2D285" w14:textId="15384090" w:rsidR="00464C99" w:rsidRPr="00821012" w:rsidRDefault="00464C99">
            <w:pPr>
              <w:rPr>
                <w:b/>
                <w:bCs/>
              </w:rPr>
            </w:pPr>
            <w:proofErr w:type="spellStart"/>
            <w:r w:rsidRPr="00821012">
              <w:rPr>
                <w:b/>
                <w:bCs/>
              </w:rPr>
              <w:t>Answer</w:t>
            </w:r>
            <w:proofErr w:type="spellEnd"/>
          </w:p>
        </w:tc>
      </w:tr>
      <w:tr w:rsidR="004D7654" w:rsidRPr="00284A07" w14:paraId="1EA1325A" w14:textId="77777777" w:rsidTr="00284A07">
        <w:tc>
          <w:tcPr>
            <w:tcW w:w="562" w:type="dxa"/>
          </w:tcPr>
          <w:p w14:paraId="118AE1F7" w14:textId="68486F74" w:rsidR="004D7654" w:rsidRDefault="004D7654" w:rsidP="004D7654">
            <w:r>
              <w:t>15</w:t>
            </w:r>
          </w:p>
        </w:tc>
        <w:tc>
          <w:tcPr>
            <w:tcW w:w="4962" w:type="dxa"/>
          </w:tcPr>
          <w:p w14:paraId="728CA0D2" w14:textId="77777777" w:rsidR="004D7654" w:rsidRPr="00284A07" w:rsidRDefault="004D7654" w:rsidP="004D7654">
            <w:pPr>
              <w:spacing w:before="100" w:beforeAutospacing="1" w:after="100" w:afterAutospacing="1"/>
              <w:rPr>
                <w:rFonts w:eastAsia="Times New Roman"/>
                <w:lang w:val="en-US"/>
              </w:rPr>
            </w:pPr>
            <w:r>
              <w:rPr>
                <w:rFonts w:eastAsia="Times New Roman"/>
                <w:lang w:val="en-GB"/>
              </w:rPr>
              <w:t xml:space="preserve">On page one of the </w:t>
            </w:r>
            <w:r>
              <w:rPr>
                <w:rFonts w:eastAsia="Times New Roman"/>
                <w:i/>
                <w:iCs/>
                <w:lang w:val="en-GB"/>
              </w:rPr>
              <w:t>Procurement Document</w:t>
            </w:r>
            <w:r>
              <w:rPr>
                <w:rFonts w:eastAsia="Times New Roman"/>
                <w:lang w:val="en-GB"/>
              </w:rPr>
              <w:t xml:space="preserve"> the deadline is on January 15, 2024, at 11:59:59 Local time in Tirana, while on page 5 of the same document the deadline time is at 23:59:59 local time. Can you please confirm which of the two is the deadline, midday, or midnight?</w:t>
            </w:r>
          </w:p>
          <w:p w14:paraId="180B71E3" w14:textId="77777777" w:rsidR="004D7654" w:rsidRPr="00284A07" w:rsidRDefault="004D7654" w:rsidP="004D7654">
            <w:pPr>
              <w:rPr>
                <w:sz w:val="24"/>
                <w:szCs w:val="24"/>
                <w:lang w:val="en-US"/>
              </w:rPr>
            </w:pPr>
          </w:p>
        </w:tc>
        <w:tc>
          <w:tcPr>
            <w:tcW w:w="5244" w:type="dxa"/>
          </w:tcPr>
          <w:p w14:paraId="379069A1" w14:textId="231D4FB5" w:rsidR="004D7654" w:rsidRDefault="001E4F54" w:rsidP="004D7654">
            <w:pPr>
              <w:rPr>
                <w:rFonts w:ascii="Calibri" w:hAnsi="Calibri" w:cs="Calibri"/>
                <w:b/>
                <w:bCs/>
                <w:lang w:val="en-GB"/>
              </w:rPr>
            </w:pPr>
            <w:r>
              <w:rPr>
                <w:lang w:val="en-GB"/>
              </w:rPr>
              <w:t>The already published answer is as follow</w:t>
            </w:r>
            <w:r w:rsidR="00A36BFB">
              <w:rPr>
                <w:lang w:val="en-GB"/>
              </w:rPr>
              <w:t>s</w:t>
            </w:r>
            <w:r>
              <w:rPr>
                <w:lang w:val="en-GB"/>
              </w:rPr>
              <w:t xml:space="preserve">: </w:t>
            </w:r>
            <w:r w:rsidR="004D7654">
              <w:rPr>
                <w:lang w:val="en-GB"/>
              </w:rPr>
              <w:t>The deadline for submission was</w:t>
            </w:r>
            <w:r w:rsidR="00284A07">
              <w:rPr>
                <w:lang w:val="en-GB"/>
              </w:rPr>
              <w:t xml:space="preserve"> </w:t>
            </w:r>
            <w:r w:rsidR="00674F77">
              <w:rPr>
                <w:lang w:val="en-GB"/>
              </w:rPr>
              <w:t>‘</w:t>
            </w:r>
            <w:r w:rsidR="004D7654" w:rsidRPr="007C4FB2">
              <w:rPr>
                <w:rFonts w:ascii="Calibri" w:hAnsi="Calibri" w:cs="Calibri"/>
                <w:b/>
                <w:bCs/>
                <w:i/>
                <w:iCs/>
                <w:lang w:val="en-GB"/>
              </w:rPr>
              <w:t>no later than 15 January 2024 at 23:59:59 local time</w:t>
            </w:r>
            <w:r w:rsidR="004D7654" w:rsidRPr="007C4FB2">
              <w:rPr>
                <w:rFonts w:ascii="Calibri" w:hAnsi="Calibri" w:cs="Calibri"/>
                <w:b/>
                <w:bCs/>
                <w:lang w:val="en-GB"/>
              </w:rPr>
              <w:t>”.</w:t>
            </w:r>
          </w:p>
          <w:p w14:paraId="0A1CCAF0" w14:textId="3E8C46C1" w:rsidR="004D7654" w:rsidRPr="00BC1E43" w:rsidRDefault="004D7654" w:rsidP="004D7654">
            <w:pPr>
              <w:rPr>
                <w:sz w:val="24"/>
                <w:szCs w:val="24"/>
                <w:lang w:val="en-GB"/>
              </w:rPr>
            </w:pPr>
            <w:r>
              <w:rPr>
                <w:rFonts w:ascii="Calibri" w:hAnsi="Calibri" w:cs="Calibri"/>
                <w:b/>
                <w:bCs/>
                <w:lang w:val="en-GB"/>
              </w:rPr>
              <w:t xml:space="preserve">However, please note that due to a request the deadline is extended and </w:t>
            </w:r>
            <w:r>
              <w:rPr>
                <w:lang w:val="en-GB"/>
              </w:rPr>
              <w:t xml:space="preserve">now confirmed </w:t>
            </w:r>
            <w:r w:rsidRPr="007C4FB2">
              <w:rPr>
                <w:b/>
                <w:bCs/>
                <w:lang w:val="en-GB"/>
              </w:rPr>
              <w:t xml:space="preserve">as </w:t>
            </w:r>
            <w:r w:rsidRPr="007C4FB2">
              <w:rPr>
                <w:rFonts w:ascii="Calibri" w:hAnsi="Calibri" w:cs="Calibri"/>
                <w:b/>
                <w:bCs/>
                <w:i/>
                <w:iCs/>
                <w:lang w:val="en-GB"/>
              </w:rPr>
              <w:t xml:space="preserve">no later than </w:t>
            </w:r>
            <w:r>
              <w:rPr>
                <w:rFonts w:ascii="Calibri" w:hAnsi="Calibri" w:cs="Calibri"/>
                <w:b/>
                <w:bCs/>
                <w:i/>
                <w:iCs/>
                <w:lang w:val="en-GB"/>
              </w:rPr>
              <w:t>22</w:t>
            </w:r>
            <w:r w:rsidRPr="007C4FB2">
              <w:rPr>
                <w:rFonts w:ascii="Calibri" w:hAnsi="Calibri" w:cs="Calibri"/>
                <w:b/>
                <w:bCs/>
                <w:i/>
                <w:iCs/>
                <w:lang w:val="en-GB"/>
              </w:rPr>
              <w:t xml:space="preserve"> January </w:t>
            </w:r>
            <w:r w:rsidRPr="00B73259">
              <w:rPr>
                <w:rFonts w:ascii="Calibri" w:hAnsi="Calibri" w:cs="Calibri"/>
                <w:b/>
                <w:bCs/>
                <w:i/>
                <w:iCs/>
                <w:lang w:val="en-GB"/>
              </w:rPr>
              <w:t xml:space="preserve">2024 </w:t>
            </w:r>
            <w:r>
              <w:rPr>
                <w:rFonts w:ascii="Calibri" w:hAnsi="Calibri" w:cs="Calibri"/>
                <w:b/>
                <w:bCs/>
                <w:i/>
                <w:iCs/>
                <w:lang w:val="en-GB"/>
              </w:rPr>
              <w:t>23</w:t>
            </w:r>
            <w:r w:rsidRPr="00B73259">
              <w:rPr>
                <w:rFonts w:ascii="Calibri" w:hAnsi="Calibri" w:cs="Calibri"/>
                <w:b/>
                <w:bCs/>
                <w:i/>
                <w:iCs/>
                <w:lang w:val="en-GB"/>
              </w:rPr>
              <w:t>:59:59</w:t>
            </w:r>
            <w:r>
              <w:rPr>
                <w:rFonts w:ascii="Calibri" w:hAnsi="Calibri" w:cs="Calibri"/>
                <w:b/>
                <w:bCs/>
                <w:i/>
                <w:iCs/>
                <w:lang w:val="en-GB"/>
              </w:rPr>
              <w:t xml:space="preserve"> </w:t>
            </w:r>
            <w:r w:rsidRPr="00B73259">
              <w:rPr>
                <w:rFonts w:ascii="Calibri" w:hAnsi="Calibri" w:cs="Calibri"/>
                <w:b/>
                <w:bCs/>
                <w:i/>
                <w:iCs/>
                <w:lang w:val="en-GB"/>
              </w:rPr>
              <w:t>local</w:t>
            </w:r>
            <w:r w:rsidRPr="007C4FB2">
              <w:rPr>
                <w:rFonts w:ascii="Calibri" w:hAnsi="Calibri" w:cs="Calibri"/>
                <w:b/>
                <w:bCs/>
                <w:i/>
                <w:iCs/>
                <w:lang w:val="en-GB"/>
              </w:rPr>
              <w:t xml:space="preserve"> time</w:t>
            </w:r>
            <w:r w:rsidRPr="007C4FB2">
              <w:rPr>
                <w:rFonts w:ascii="Calibri" w:hAnsi="Calibri" w:cs="Calibri"/>
                <w:b/>
                <w:bCs/>
                <w:lang w:val="en-GB"/>
              </w:rPr>
              <w:t>”.</w:t>
            </w:r>
          </w:p>
        </w:tc>
      </w:tr>
      <w:tr w:rsidR="004D7654" w:rsidRPr="00284A07" w14:paraId="1578BE07" w14:textId="77777777" w:rsidTr="00284A07">
        <w:trPr>
          <w:trHeight w:val="876"/>
        </w:trPr>
        <w:tc>
          <w:tcPr>
            <w:tcW w:w="562" w:type="dxa"/>
          </w:tcPr>
          <w:p w14:paraId="29156C88" w14:textId="7504B3EF" w:rsidR="004D7654" w:rsidRPr="006521ED" w:rsidRDefault="004D7654" w:rsidP="004D7654">
            <w:pPr>
              <w:rPr>
                <w:lang w:val="en-GB"/>
              </w:rPr>
            </w:pPr>
            <w:r>
              <w:rPr>
                <w:lang w:val="en-GB"/>
              </w:rPr>
              <w:t>16</w:t>
            </w:r>
          </w:p>
        </w:tc>
        <w:tc>
          <w:tcPr>
            <w:tcW w:w="4962" w:type="dxa"/>
          </w:tcPr>
          <w:p w14:paraId="6325C28D"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 xml:space="preserve">In subsection 4.6 of the </w:t>
            </w:r>
            <w:r w:rsidRPr="006148CB">
              <w:rPr>
                <w:rFonts w:eastAsia="Times New Roman"/>
                <w:lang w:val="en-GB"/>
              </w:rPr>
              <w:t>Procurement Document, </w:t>
            </w:r>
            <w:r>
              <w:rPr>
                <w:rFonts w:eastAsia="Times New Roman"/>
                <w:lang w:val="en-GB"/>
              </w:rPr>
              <w:t>the subsection starts with the tenderer</w:t>
            </w:r>
            <w:r w:rsidRPr="006148CB">
              <w:rPr>
                <w:rFonts w:eastAsia="Times New Roman"/>
                <w:lang w:val="en-GB"/>
              </w:rPr>
              <w:t xml:space="preserve"> shall provide…. </w:t>
            </w:r>
            <w:r>
              <w:rPr>
                <w:rFonts w:eastAsia="Times New Roman"/>
                <w:lang w:val="en-GB"/>
              </w:rPr>
              <w:t xml:space="preserve">while in the following points of the Procurement Document includes terms like </w:t>
            </w:r>
            <w:r w:rsidRPr="006148CB">
              <w:rPr>
                <w:rFonts w:eastAsia="Times New Roman"/>
                <w:lang w:val="en-GB"/>
              </w:rPr>
              <w:t>preferably or add value</w:t>
            </w:r>
            <w:r>
              <w:rPr>
                <w:rFonts w:eastAsia="Times New Roman"/>
                <w:lang w:val="en-GB"/>
              </w:rPr>
              <w:t xml:space="preserve">. Can you please explain how this added value and preferred will have effect on the scoring that will be given to these positions. </w:t>
            </w:r>
            <w:r w:rsidRPr="006148CB">
              <w:rPr>
                <w:rFonts w:eastAsia="Times New Roman"/>
                <w:lang w:val="en-GB"/>
              </w:rPr>
              <w:t xml:space="preserve">The sections that we refer to are: </w:t>
            </w:r>
          </w:p>
          <w:p w14:paraId="3AA5998D"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Points I and II under program Manager (Team Leader)</w:t>
            </w:r>
          </w:p>
          <w:p w14:paraId="7E009980"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Points II and IV under International Policing Advisor,</w:t>
            </w:r>
          </w:p>
          <w:p w14:paraId="780DB730"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Points VII and VIII and under monitoring and evaluation Expert,</w:t>
            </w:r>
          </w:p>
          <w:p w14:paraId="35F15BF9" w14:textId="38D9D55A" w:rsidR="004D7654" w:rsidRPr="006148CB" w:rsidRDefault="004D7654" w:rsidP="004D7654">
            <w:pPr>
              <w:rPr>
                <w:rFonts w:eastAsia="Times New Roman"/>
                <w:lang w:val="en-GB"/>
              </w:rPr>
            </w:pPr>
          </w:p>
        </w:tc>
        <w:tc>
          <w:tcPr>
            <w:tcW w:w="5244" w:type="dxa"/>
          </w:tcPr>
          <w:p w14:paraId="07622CA3" w14:textId="2CB36502" w:rsidR="004D7654" w:rsidRPr="00BC1E43" w:rsidRDefault="007878D5" w:rsidP="004D7654">
            <w:pPr>
              <w:rPr>
                <w:sz w:val="24"/>
                <w:szCs w:val="24"/>
                <w:lang w:val="en-GB"/>
              </w:rPr>
            </w:pPr>
            <w:r w:rsidRPr="00284A07">
              <w:rPr>
                <w:sz w:val="24"/>
                <w:szCs w:val="24"/>
                <w:lang w:val="en-GB"/>
              </w:rPr>
              <w:t xml:space="preserve">The evaluation panel will determine whether the experts </w:t>
            </w:r>
            <w:r w:rsidR="00BC60FF" w:rsidRPr="00284A07">
              <w:rPr>
                <w:sz w:val="24"/>
                <w:szCs w:val="24"/>
                <w:lang w:val="en-GB"/>
              </w:rPr>
              <w:t xml:space="preserve">proposed are </w:t>
            </w:r>
            <w:r w:rsidR="00403C6B" w:rsidRPr="00284A07">
              <w:rPr>
                <w:sz w:val="24"/>
                <w:szCs w:val="24"/>
                <w:lang w:val="en-GB"/>
              </w:rPr>
              <w:t>suffi</w:t>
            </w:r>
            <w:r w:rsidR="00E07CB9" w:rsidRPr="00284A07">
              <w:rPr>
                <w:sz w:val="24"/>
                <w:szCs w:val="24"/>
                <w:lang w:val="en-GB"/>
              </w:rPr>
              <w:t>ci</w:t>
            </w:r>
            <w:r w:rsidR="00403C6B" w:rsidRPr="00284A07">
              <w:rPr>
                <w:sz w:val="24"/>
                <w:szCs w:val="24"/>
                <w:lang w:val="en-GB"/>
              </w:rPr>
              <w:t>en</w:t>
            </w:r>
            <w:r w:rsidR="00E07CB9" w:rsidRPr="00284A07">
              <w:rPr>
                <w:sz w:val="24"/>
                <w:szCs w:val="24"/>
                <w:lang w:val="en-GB"/>
              </w:rPr>
              <w:t>t</w:t>
            </w:r>
            <w:r w:rsidR="00403C6B" w:rsidRPr="00284A07">
              <w:rPr>
                <w:sz w:val="24"/>
                <w:szCs w:val="24"/>
                <w:lang w:val="en-GB"/>
              </w:rPr>
              <w:t xml:space="preserve">ly </w:t>
            </w:r>
            <w:r w:rsidR="00BC60FF" w:rsidRPr="00284A07">
              <w:rPr>
                <w:sz w:val="24"/>
                <w:szCs w:val="24"/>
                <w:lang w:val="en-GB"/>
              </w:rPr>
              <w:t xml:space="preserve">qualified </w:t>
            </w:r>
            <w:r w:rsidR="00E07CB9" w:rsidRPr="00284A07">
              <w:rPr>
                <w:sz w:val="24"/>
                <w:szCs w:val="24"/>
                <w:lang w:val="en-GB"/>
              </w:rPr>
              <w:t xml:space="preserve">and experienced to carry out </w:t>
            </w:r>
            <w:r w:rsidR="00BC60FF" w:rsidRPr="00284A07">
              <w:rPr>
                <w:sz w:val="24"/>
                <w:szCs w:val="24"/>
                <w:lang w:val="en-GB"/>
              </w:rPr>
              <w:t>the assignment</w:t>
            </w:r>
            <w:r w:rsidR="00F90A45" w:rsidRPr="00284A07">
              <w:rPr>
                <w:sz w:val="24"/>
                <w:szCs w:val="24"/>
                <w:lang w:val="en-GB"/>
              </w:rPr>
              <w:t xml:space="preserve"> based on the information provided in the CVs</w:t>
            </w:r>
            <w:r w:rsidR="0043439E" w:rsidRPr="00284A07">
              <w:rPr>
                <w:sz w:val="24"/>
                <w:szCs w:val="24"/>
                <w:lang w:val="en-GB"/>
              </w:rPr>
              <w:t xml:space="preserve"> and the requirements detailed in Section 4.6</w:t>
            </w:r>
            <w:r w:rsidR="00280F18" w:rsidRPr="00284A07">
              <w:rPr>
                <w:sz w:val="24"/>
                <w:szCs w:val="24"/>
                <w:lang w:val="en-GB"/>
              </w:rPr>
              <w:t xml:space="preserve">. The terms </w:t>
            </w:r>
            <w:r w:rsidR="007356E6" w:rsidRPr="00284A07">
              <w:rPr>
                <w:sz w:val="24"/>
                <w:szCs w:val="24"/>
                <w:lang w:val="en-GB"/>
              </w:rPr>
              <w:t>“</w:t>
            </w:r>
            <w:r w:rsidR="00280F18" w:rsidRPr="00284A07">
              <w:rPr>
                <w:sz w:val="24"/>
                <w:szCs w:val="24"/>
                <w:lang w:val="en-GB"/>
              </w:rPr>
              <w:t>added value</w:t>
            </w:r>
            <w:r w:rsidR="007356E6" w:rsidRPr="00284A07">
              <w:rPr>
                <w:sz w:val="24"/>
                <w:szCs w:val="24"/>
                <w:lang w:val="en-GB"/>
              </w:rPr>
              <w:t>”</w:t>
            </w:r>
            <w:r w:rsidR="00311AA3" w:rsidRPr="00284A07">
              <w:rPr>
                <w:sz w:val="24"/>
                <w:szCs w:val="24"/>
                <w:lang w:val="en-GB"/>
              </w:rPr>
              <w:t xml:space="preserve"> and </w:t>
            </w:r>
            <w:r w:rsidR="007356E6" w:rsidRPr="00284A07">
              <w:rPr>
                <w:sz w:val="24"/>
                <w:szCs w:val="24"/>
                <w:lang w:val="en-GB"/>
              </w:rPr>
              <w:t>“</w:t>
            </w:r>
            <w:r w:rsidR="00311AA3" w:rsidRPr="00284A07">
              <w:rPr>
                <w:sz w:val="24"/>
                <w:szCs w:val="24"/>
                <w:lang w:val="en-GB"/>
              </w:rPr>
              <w:t>preferred</w:t>
            </w:r>
            <w:r w:rsidR="007356E6" w:rsidRPr="00284A07">
              <w:rPr>
                <w:sz w:val="24"/>
                <w:szCs w:val="24"/>
                <w:lang w:val="en-GB"/>
              </w:rPr>
              <w:t>”</w:t>
            </w:r>
            <w:r w:rsidR="00311AA3" w:rsidRPr="00284A07">
              <w:rPr>
                <w:sz w:val="24"/>
                <w:szCs w:val="24"/>
                <w:lang w:val="en-GB"/>
              </w:rPr>
              <w:t xml:space="preserve"> in Section 4.6 </w:t>
            </w:r>
            <w:r w:rsidR="00035F4F" w:rsidRPr="00284A07">
              <w:rPr>
                <w:sz w:val="24"/>
                <w:szCs w:val="24"/>
                <w:lang w:val="en-GB"/>
              </w:rPr>
              <w:t xml:space="preserve">are to indicate </w:t>
            </w:r>
            <w:r w:rsidR="001654C4" w:rsidRPr="00284A07">
              <w:rPr>
                <w:sz w:val="24"/>
                <w:szCs w:val="24"/>
                <w:lang w:val="en-GB"/>
              </w:rPr>
              <w:t>ele</w:t>
            </w:r>
            <w:r w:rsidR="002F5A79" w:rsidRPr="00284A07">
              <w:rPr>
                <w:sz w:val="24"/>
                <w:szCs w:val="24"/>
                <w:lang w:val="en-GB"/>
              </w:rPr>
              <w:t xml:space="preserve">ments that would add to the probability of an expert </w:t>
            </w:r>
            <w:r w:rsidR="00255667" w:rsidRPr="00284A07">
              <w:rPr>
                <w:sz w:val="24"/>
                <w:szCs w:val="24"/>
                <w:lang w:val="en-GB"/>
              </w:rPr>
              <w:t>being</w:t>
            </w:r>
            <w:r w:rsidR="00DD66B1" w:rsidRPr="00284A07">
              <w:rPr>
                <w:sz w:val="24"/>
                <w:szCs w:val="24"/>
                <w:lang w:val="en-GB"/>
              </w:rPr>
              <w:t xml:space="preserve"> </w:t>
            </w:r>
            <w:r w:rsidR="002F5A79" w:rsidRPr="00284A07">
              <w:rPr>
                <w:sz w:val="24"/>
                <w:szCs w:val="24"/>
                <w:lang w:val="en-GB"/>
              </w:rPr>
              <w:t>sufficiently qualified.</w:t>
            </w:r>
            <w:r w:rsidR="007356E6" w:rsidRPr="00284A07">
              <w:rPr>
                <w:sz w:val="24"/>
                <w:szCs w:val="24"/>
                <w:lang w:val="en-GB"/>
              </w:rPr>
              <w:t xml:space="preserve"> In section</w:t>
            </w:r>
            <w:r w:rsidR="00674F77" w:rsidRPr="00284A07">
              <w:rPr>
                <w:sz w:val="24"/>
                <w:szCs w:val="24"/>
                <w:lang w:val="en-GB"/>
              </w:rPr>
              <w:t xml:space="preserve"> 5.4</w:t>
            </w:r>
            <w:r w:rsidR="007356E6" w:rsidRPr="00284A07">
              <w:rPr>
                <w:sz w:val="24"/>
                <w:szCs w:val="24"/>
                <w:lang w:val="en-GB"/>
              </w:rPr>
              <w:t xml:space="preserve"> the</w:t>
            </w:r>
            <w:r w:rsidR="00EE56CE" w:rsidRPr="00284A07">
              <w:rPr>
                <w:sz w:val="24"/>
                <w:szCs w:val="24"/>
                <w:lang w:val="en-GB"/>
              </w:rPr>
              <w:t xml:space="preserve"> term “</w:t>
            </w:r>
            <w:r w:rsidR="00B87E46" w:rsidRPr="00284A07">
              <w:rPr>
                <w:sz w:val="24"/>
                <w:szCs w:val="24"/>
                <w:lang w:val="en-GB"/>
              </w:rPr>
              <w:t xml:space="preserve">preferable” refers to evaluation merit points that may be added to the scoring </w:t>
            </w:r>
            <w:r w:rsidR="00403C6B" w:rsidRPr="00284A07">
              <w:rPr>
                <w:sz w:val="24"/>
                <w:szCs w:val="24"/>
                <w:lang w:val="en-GB"/>
              </w:rPr>
              <w:t xml:space="preserve">because </w:t>
            </w:r>
            <w:r w:rsidR="002E64C5" w:rsidRPr="00284A07">
              <w:rPr>
                <w:sz w:val="24"/>
                <w:szCs w:val="24"/>
                <w:lang w:val="en-GB"/>
              </w:rPr>
              <w:t>an</w:t>
            </w:r>
            <w:r w:rsidR="00403C6B" w:rsidRPr="00284A07">
              <w:rPr>
                <w:sz w:val="24"/>
                <w:szCs w:val="24"/>
                <w:lang w:val="en-GB"/>
              </w:rPr>
              <w:t xml:space="preserve"> expert is more than sufficiently qualified.</w:t>
            </w:r>
          </w:p>
        </w:tc>
      </w:tr>
      <w:tr w:rsidR="004D7654" w:rsidRPr="0000642C" w14:paraId="09542CA4" w14:textId="77777777" w:rsidTr="00284A07">
        <w:tc>
          <w:tcPr>
            <w:tcW w:w="562" w:type="dxa"/>
          </w:tcPr>
          <w:p w14:paraId="541EC7D1" w14:textId="197C52C9" w:rsidR="004D7654" w:rsidRPr="006521ED" w:rsidRDefault="004D7654" w:rsidP="004D7654">
            <w:pPr>
              <w:rPr>
                <w:lang w:val="en-GB"/>
              </w:rPr>
            </w:pPr>
            <w:r>
              <w:rPr>
                <w:lang w:val="en-GB"/>
              </w:rPr>
              <w:t>17</w:t>
            </w:r>
          </w:p>
        </w:tc>
        <w:tc>
          <w:tcPr>
            <w:tcW w:w="4962" w:type="dxa"/>
          </w:tcPr>
          <w:p w14:paraId="13E05A84"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Under section 4.1 of the Terms of References, the international policing advisor will work full time during the first 3.5 years and then the remaining 1.5 years part time at 50%, while in section 4.3 under the International Policing Advisor the position is part time at 50%. Can you please confirm that the position is part time for 50%, i.e., 30 months during the whole period.</w:t>
            </w:r>
          </w:p>
          <w:p w14:paraId="3BE47C63" w14:textId="77777777" w:rsidR="004D7654" w:rsidRPr="006148CB" w:rsidRDefault="004D7654" w:rsidP="004D7654">
            <w:pPr>
              <w:rPr>
                <w:rFonts w:eastAsia="Times New Roman"/>
                <w:lang w:val="en-GB"/>
              </w:rPr>
            </w:pPr>
          </w:p>
        </w:tc>
        <w:tc>
          <w:tcPr>
            <w:tcW w:w="5244" w:type="dxa"/>
          </w:tcPr>
          <w:p w14:paraId="2CFF0394" w14:textId="147531E8" w:rsidR="004D7654" w:rsidRPr="009266F4" w:rsidRDefault="001E4F54" w:rsidP="004D7654">
            <w:pPr>
              <w:rPr>
                <w:rFonts w:ascii="Arial" w:hAnsi="Arial" w:cs="Arial"/>
                <w:b/>
                <w:bCs/>
                <w:u w:val="single"/>
                <w:lang w:val="en-US"/>
              </w:rPr>
            </w:pPr>
            <w:r>
              <w:rPr>
                <w:lang w:val="en-GB"/>
              </w:rPr>
              <w:t>The already published answer is as follow</w:t>
            </w:r>
            <w:r w:rsidR="00A36BFB">
              <w:rPr>
                <w:lang w:val="en-GB"/>
              </w:rPr>
              <w:t>s</w:t>
            </w:r>
            <w:r>
              <w:rPr>
                <w:lang w:val="en-GB"/>
              </w:rPr>
              <w:t xml:space="preserve">: </w:t>
            </w:r>
            <w:r w:rsidR="004D7654" w:rsidRPr="0060476B">
              <w:rPr>
                <w:rFonts w:ascii="Arial" w:hAnsi="Arial" w:cs="Arial"/>
                <w:i/>
                <w:iCs/>
                <w:lang w:val="en-US"/>
              </w:rPr>
              <w:t>International Policing Advisor</w:t>
            </w:r>
            <w:r w:rsidR="004D7654" w:rsidRPr="009266F4">
              <w:rPr>
                <w:rFonts w:ascii="Arial" w:hAnsi="Arial" w:cs="Arial"/>
                <w:b/>
                <w:bCs/>
                <w:u w:val="single"/>
                <w:lang w:val="en-US"/>
              </w:rPr>
              <w:t xml:space="preserve">: </w:t>
            </w:r>
          </w:p>
          <w:p w14:paraId="4E390E1F" w14:textId="77777777" w:rsidR="004D7654" w:rsidRPr="0060476B" w:rsidRDefault="004D7654" w:rsidP="004D7654">
            <w:pPr>
              <w:rPr>
                <w:rFonts w:ascii="Arial" w:hAnsi="Arial" w:cs="Arial"/>
                <w:b/>
                <w:bCs/>
                <w:lang w:val="en-US"/>
              </w:rPr>
            </w:pPr>
            <w:r w:rsidRPr="0060476B">
              <w:rPr>
                <w:rFonts w:ascii="Arial" w:hAnsi="Arial" w:cs="Arial"/>
                <w:lang w:val="en-US"/>
              </w:rPr>
              <w:t>The position</w:t>
            </w:r>
            <w:r w:rsidRPr="0060476B">
              <w:rPr>
                <w:rFonts w:ascii="Arial" w:hAnsi="Arial" w:cs="Arial"/>
                <w:b/>
                <w:bCs/>
                <w:lang w:val="en-US"/>
              </w:rPr>
              <w:t xml:space="preserve"> is part-time (50%) for the whole </w:t>
            </w:r>
            <w:proofErr w:type="gramStart"/>
            <w:r w:rsidRPr="0060476B">
              <w:rPr>
                <w:rFonts w:ascii="Arial" w:hAnsi="Arial" w:cs="Arial"/>
                <w:b/>
                <w:bCs/>
                <w:lang w:val="en-US"/>
              </w:rPr>
              <w:t>5 year</w:t>
            </w:r>
            <w:proofErr w:type="gramEnd"/>
            <w:r w:rsidRPr="0060476B">
              <w:rPr>
                <w:rFonts w:ascii="Arial" w:hAnsi="Arial" w:cs="Arial"/>
                <w:b/>
                <w:bCs/>
                <w:lang w:val="en-US"/>
              </w:rPr>
              <w:t xml:space="preserve"> period.</w:t>
            </w:r>
          </w:p>
          <w:p w14:paraId="4784A52D" w14:textId="46296ABF" w:rsidR="004D7654" w:rsidRPr="00AB57C8" w:rsidRDefault="004D7654" w:rsidP="004D7654">
            <w:pPr>
              <w:rPr>
                <w:sz w:val="24"/>
                <w:szCs w:val="24"/>
                <w:lang w:val="en-US"/>
              </w:rPr>
            </w:pPr>
          </w:p>
        </w:tc>
      </w:tr>
      <w:tr w:rsidR="004D7654" w:rsidRPr="00284A07" w14:paraId="3BAD0311" w14:textId="77777777" w:rsidTr="00284A07">
        <w:tc>
          <w:tcPr>
            <w:tcW w:w="562" w:type="dxa"/>
          </w:tcPr>
          <w:p w14:paraId="68C856BC" w14:textId="612A8EF1" w:rsidR="004D7654" w:rsidRPr="006521ED" w:rsidRDefault="004D7654" w:rsidP="004D7654">
            <w:pPr>
              <w:rPr>
                <w:lang w:val="en-GB"/>
              </w:rPr>
            </w:pPr>
            <w:r>
              <w:rPr>
                <w:lang w:val="en-GB"/>
              </w:rPr>
              <w:t>18</w:t>
            </w:r>
          </w:p>
        </w:tc>
        <w:tc>
          <w:tcPr>
            <w:tcW w:w="4962" w:type="dxa"/>
          </w:tcPr>
          <w:p w14:paraId="3C952827"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 xml:space="preserve">Under section 4.1 the Monitoring &amp; Evaluation expert will be full-time for the first three years and part-time (50%) in the remaining (last) two years, while in Section 4.3 under Monitoring and Evaluation Expert, the </w:t>
            </w:r>
            <w:r w:rsidRPr="006148CB">
              <w:rPr>
                <w:rFonts w:eastAsia="Times New Roman"/>
                <w:lang w:val="en-GB"/>
              </w:rPr>
              <w:t>position is full-time for the first year and part time (50%) for the remaining 4 years.</w:t>
            </w:r>
            <w:r>
              <w:rPr>
                <w:rFonts w:eastAsia="Times New Roman"/>
                <w:lang w:val="en-GB"/>
              </w:rPr>
              <w:t xml:space="preserve"> Can you please confirm that the position is part time for 36 months, full time for the first year and 50% for the remaining 4 years.</w:t>
            </w:r>
          </w:p>
          <w:p w14:paraId="68B453F2" w14:textId="77777777" w:rsidR="004D7654" w:rsidRPr="006148CB" w:rsidRDefault="004D7654" w:rsidP="004D7654">
            <w:pPr>
              <w:rPr>
                <w:rFonts w:eastAsia="Times New Roman"/>
                <w:lang w:val="en-GB"/>
              </w:rPr>
            </w:pPr>
          </w:p>
        </w:tc>
        <w:tc>
          <w:tcPr>
            <w:tcW w:w="5244" w:type="dxa"/>
          </w:tcPr>
          <w:p w14:paraId="604323AE" w14:textId="6F0859A9" w:rsidR="004D7654" w:rsidRPr="0060476B" w:rsidRDefault="001E4F54" w:rsidP="004D7654">
            <w:pPr>
              <w:rPr>
                <w:rFonts w:ascii="Arial" w:hAnsi="Arial" w:cs="Arial"/>
                <w:i/>
                <w:iCs/>
                <w:lang w:val="en-US"/>
              </w:rPr>
            </w:pPr>
            <w:r>
              <w:rPr>
                <w:lang w:val="en-GB"/>
              </w:rPr>
              <w:t>The already published answer is as follow</w:t>
            </w:r>
            <w:r w:rsidR="00A36BFB">
              <w:rPr>
                <w:lang w:val="en-GB"/>
              </w:rPr>
              <w:t>s</w:t>
            </w:r>
            <w:r>
              <w:rPr>
                <w:lang w:val="en-GB"/>
              </w:rPr>
              <w:t xml:space="preserve">: </w:t>
            </w:r>
            <w:r w:rsidR="00A36BFB">
              <w:rPr>
                <w:lang w:val="en-GB"/>
              </w:rPr>
              <w:t xml:space="preserve">   </w:t>
            </w:r>
            <w:r w:rsidR="004D7654" w:rsidRPr="0060476B">
              <w:rPr>
                <w:rFonts w:ascii="Arial" w:hAnsi="Arial" w:cs="Arial"/>
                <w:i/>
                <w:iCs/>
                <w:lang w:val="en-US"/>
              </w:rPr>
              <w:t xml:space="preserve">Monitoring and Evaluation Expert: </w:t>
            </w:r>
          </w:p>
          <w:p w14:paraId="0ABCA148" w14:textId="77777777" w:rsidR="004D7654" w:rsidRDefault="004D7654" w:rsidP="004D7654">
            <w:pPr>
              <w:rPr>
                <w:rFonts w:ascii="Arial" w:hAnsi="Arial" w:cs="Arial"/>
                <w:lang w:val="en-US"/>
              </w:rPr>
            </w:pPr>
            <w:r w:rsidRPr="009266F4">
              <w:rPr>
                <w:rFonts w:ascii="Arial" w:hAnsi="Arial" w:cs="Arial"/>
                <w:lang w:val="en-US"/>
              </w:rPr>
              <w:t>The</w:t>
            </w:r>
            <w:r>
              <w:rPr>
                <w:rFonts w:ascii="Arial" w:hAnsi="Arial" w:cs="Arial"/>
                <w:lang w:val="en-US"/>
              </w:rPr>
              <w:t xml:space="preserve"> position </w:t>
            </w:r>
            <w:r w:rsidRPr="0060476B">
              <w:rPr>
                <w:rFonts w:ascii="Arial" w:hAnsi="Arial" w:cs="Arial"/>
                <w:b/>
                <w:bCs/>
                <w:lang w:val="en-US"/>
              </w:rPr>
              <w:t>is full-time for the first year and part-time (50%) for the remaining 4 years</w:t>
            </w:r>
            <w:r>
              <w:rPr>
                <w:rFonts w:ascii="Arial" w:hAnsi="Arial" w:cs="Arial"/>
                <w:lang w:val="en-US"/>
              </w:rPr>
              <w:t>.</w:t>
            </w:r>
          </w:p>
          <w:p w14:paraId="69054919" w14:textId="622480BD" w:rsidR="004D7654" w:rsidRPr="00AB57C8" w:rsidRDefault="004D7654" w:rsidP="004D7654">
            <w:pPr>
              <w:rPr>
                <w:sz w:val="24"/>
                <w:szCs w:val="24"/>
                <w:lang w:val="en-US"/>
              </w:rPr>
            </w:pPr>
          </w:p>
        </w:tc>
      </w:tr>
      <w:tr w:rsidR="004D7654" w:rsidRPr="00284A07" w14:paraId="17C19D47" w14:textId="77777777" w:rsidTr="00284A07">
        <w:tc>
          <w:tcPr>
            <w:tcW w:w="562" w:type="dxa"/>
          </w:tcPr>
          <w:p w14:paraId="5DD5EF65" w14:textId="2A6D08B8" w:rsidR="004D7654" w:rsidRDefault="004D7654" w:rsidP="004D7654">
            <w:pPr>
              <w:rPr>
                <w:lang w:val="en-GB"/>
              </w:rPr>
            </w:pPr>
            <w:r>
              <w:rPr>
                <w:lang w:val="en-GB"/>
              </w:rPr>
              <w:t>19</w:t>
            </w:r>
          </w:p>
        </w:tc>
        <w:tc>
          <w:tcPr>
            <w:tcW w:w="4962" w:type="dxa"/>
          </w:tcPr>
          <w:p w14:paraId="6F030F1E" w14:textId="77777777" w:rsidR="004D7654" w:rsidRPr="006148CB" w:rsidRDefault="004D7654" w:rsidP="004D7654">
            <w:pPr>
              <w:spacing w:before="100" w:beforeAutospacing="1" w:after="100" w:afterAutospacing="1"/>
              <w:rPr>
                <w:rFonts w:eastAsia="Times New Roman"/>
                <w:lang w:val="en-GB"/>
              </w:rPr>
            </w:pPr>
            <w:r>
              <w:rPr>
                <w:rFonts w:eastAsia="Times New Roman"/>
                <w:lang w:val="en-GB"/>
              </w:rPr>
              <w:t>Could you please confirm if the total indicated budget of 36 MSEK includes the grant funds of indicated 600 000 euro or not.</w:t>
            </w:r>
          </w:p>
          <w:p w14:paraId="734DD705" w14:textId="77777777" w:rsidR="004D7654" w:rsidRPr="006148CB" w:rsidRDefault="004D7654" w:rsidP="004D7654">
            <w:pPr>
              <w:pStyle w:val="elementtoproof"/>
              <w:rPr>
                <w:rFonts w:asciiTheme="minorHAnsi" w:eastAsia="Times New Roman" w:hAnsiTheme="minorHAnsi" w:cstheme="minorBidi"/>
                <w:kern w:val="2"/>
                <w:lang w:val="en-GB" w:eastAsia="en-US"/>
                <w14:ligatures w14:val="standardContextual"/>
              </w:rPr>
            </w:pPr>
          </w:p>
        </w:tc>
        <w:tc>
          <w:tcPr>
            <w:tcW w:w="5244" w:type="dxa"/>
          </w:tcPr>
          <w:p w14:paraId="0C3ED926" w14:textId="63912AC3" w:rsidR="004D7654" w:rsidRPr="006521ED" w:rsidRDefault="004D7654" w:rsidP="004D7654">
            <w:pPr>
              <w:rPr>
                <w:lang w:val="en-GB"/>
              </w:rPr>
            </w:pPr>
            <w:r>
              <w:rPr>
                <w:lang w:val="en-GB"/>
              </w:rPr>
              <w:t xml:space="preserve">A provision for Grants of </w:t>
            </w:r>
            <w:r w:rsidRPr="003C22D1">
              <w:rPr>
                <w:b/>
                <w:bCs/>
                <w:lang w:val="en-GB"/>
              </w:rPr>
              <w:t>SEK 6,670,000</w:t>
            </w:r>
            <w:r>
              <w:rPr>
                <w:b/>
                <w:bCs/>
                <w:lang w:val="en-GB"/>
              </w:rPr>
              <w:t xml:space="preserve"> (</w:t>
            </w:r>
            <w:r>
              <w:rPr>
                <w:lang w:val="en-GB"/>
              </w:rPr>
              <w:t>Euros 600.000)</w:t>
            </w:r>
            <w:r w:rsidRPr="003C22D1">
              <w:rPr>
                <w:lang w:val="en-GB"/>
              </w:rPr>
              <w:t xml:space="preserve"> </w:t>
            </w:r>
            <w:r>
              <w:rPr>
                <w:lang w:val="en-GB"/>
              </w:rPr>
              <w:t>should be included in your Financial Proposal. This provision is included in the total budget of 36 M SEK.</w:t>
            </w:r>
          </w:p>
        </w:tc>
      </w:tr>
      <w:tr w:rsidR="00B601F0" w:rsidRPr="00B601F0" w14:paraId="28ABEFE6" w14:textId="77777777" w:rsidTr="00284A07">
        <w:tc>
          <w:tcPr>
            <w:tcW w:w="562" w:type="dxa"/>
          </w:tcPr>
          <w:p w14:paraId="034F1436" w14:textId="77777777" w:rsidR="00B601F0" w:rsidRPr="00284A07" w:rsidRDefault="00B601F0" w:rsidP="004D7654">
            <w:pPr>
              <w:rPr>
                <w:lang w:val="en-US"/>
              </w:rPr>
            </w:pPr>
          </w:p>
        </w:tc>
        <w:tc>
          <w:tcPr>
            <w:tcW w:w="4962" w:type="dxa"/>
          </w:tcPr>
          <w:p w14:paraId="203A391B" w14:textId="77777777" w:rsidR="00B601F0" w:rsidRDefault="00B601F0" w:rsidP="004D7654">
            <w:pPr>
              <w:spacing w:before="100" w:beforeAutospacing="1" w:after="100" w:afterAutospacing="1"/>
              <w:rPr>
                <w:rFonts w:eastAsia="Times New Roman"/>
                <w:b/>
                <w:bCs/>
                <w:lang w:val="en-GB"/>
              </w:rPr>
            </w:pPr>
            <w:r w:rsidRPr="00284A07">
              <w:rPr>
                <w:rFonts w:eastAsia="Times New Roman"/>
                <w:b/>
                <w:bCs/>
                <w:lang w:val="en-GB"/>
              </w:rPr>
              <w:t>Notification</w:t>
            </w:r>
          </w:p>
          <w:p w14:paraId="06E17025" w14:textId="77777777" w:rsidR="00B601F0" w:rsidRDefault="00B601F0" w:rsidP="004D7654">
            <w:pPr>
              <w:spacing w:before="100" w:beforeAutospacing="1" w:after="100" w:afterAutospacing="1"/>
              <w:rPr>
                <w:rFonts w:eastAsia="Times New Roman"/>
                <w:b/>
                <w:bCs/>
                <w:lang w:val="en-GB"/>
              </w:rPr>
            </w:pPr>
            <w:r>
              <w:rPr>
                <w:rFonts w:eastAsia="Times New Roman"/>
                <w:b/>
                <w:bCs/>
                <w:lang w:val="en-GB"/>
              </w:rPr>
              <w:t>Issue:</w:t>
            </w:r>
          </w:p>
          <w:p w14:paraId="3E2288CC" w14:textId="77777777" w:rsidR="00B601F0" w:rsidRDefault="00B601F0" w:rsidP="00B601F0">
            <w:pPr>
              <w:pStyle w:val="ListParagraph"/>
              <w:numPr>
                <w:ilvl w:val="0"/>
                <w:numId w:val="14"/>
              </w:numPr>
              <w:spacing w:before="100" w:beforeAutospacing="1" w:after="100" w:afterAutospacing="1" w:line="240" w:lineRule="auto"/>
              <w:rPr>
                <w:rFonts w:eastAsia="Times New Roman"/>
                <w:b/>
                <w:bCs/>
                <w:lang w:val="en-GB"/>
              </w:rPr>
            </w:pPr>
            <w:r>
              <w:rPr>
                <w:rFonts w:eastAsia="Times New Roman"/>
                <w:b/>
                <w:bCs/>
                <w:lang w:val="en-GB"/>
              </w:rPr>
              <w:t xml:space="preserve">Deadline for questions </w:t>
            </w:r>
          </w:p>
          <w:p w14:paraId="271E0791" w14:textId="77777777" w:rsidR="00B601F0" w:rsidRDefault="00B601F0" w:rsidP="00B601F0">
            <w:pPr>
              <w:pStyle w:val="ListParagraph"/>
              <w:numPr>
                <w:ilvl w:val="0"/>
                <w:numId w:val="14"/>
              </w:numPr>
              <w:spacing w:before="100" w:beforeAutospacing="1" w:after="100" w:afterAutospacing="1" w:line="240" w:lineRule="auto"/>
              <w:rPr>
                <w:rFonts w:eastAsia="Times New Roman"/>
                <w:b/>
                <w:bCs/>
                <w:lang w:val="en-GB"/>
              </w:rPr>
            </w:pPr>
            <w:r>
              <w:rPr>
                <w:rFonts w:eastAsia="Times New Roman"/>
                <w:b/>
                <w:bCs/>
                <w:lang w:val="en-GB"/>
              </w:rPr>
              <w:t>Deadline for tender submission</w:t>
            </w:r>
          </w:p>
          <w:p w14:paraId="0BC70D99" w14:textId="3ABA47AA" w:rsidR="00B601F0" w:rsidRPr="00284A07" w:rsidRDefault="00B601F0" w:rsidP="00284A07">
            <w:pPr>
              <w:pStyle w:val="ListParagraph"/>
              <w:numPr>
                <w:ilvl w:val="0"/>
                <w:numId w:val="14"/>
              </w:numPr>
              <w:spacing w:before="100" w:beforeAutospacing="1" w:after="100" w:afterAutospacing="1" w:line="240" w:lineRule="auto"/>
              <w:rPr>
                <w:rFonts w:eastAsia="Times New Roman"/>
                <w:b/>
                <w:bCs/>
                <w:lang w:val="en-GB"/>
              </w:rPr>
            </w:pPr>
            <w:r>
              <w:rPr>
                <w:rFonts w:eastAsia="Times New Roman"/>
                <w:b/>
                <w:bCs/>
                <w:lang w:val="en-GB"/>
              </w:rPr>
              <w:t xml:space="preserve">Deadline for answering questions </w:t>
            </w:r>
          </w:p>
        </w:tc>
        <w:tc>
          <w:tcPr>
            <w:tcW w:w="5244" w:type="dxa"/>
          </w:tcPr>
          <w:p w14:paraId="4E8A382A" w14:textId="77777777" w:rsidR="00B601F0" w:rsidRDefault="00B601F0" w:rsidP="004D7654">
            <w:pPr>
              <w:rPr>
                <w:lang w:val="en-GB"/>
              </w:rPr>
            </w:pPr>
          </w:p>
          <w:p w14:paraId="445E70E7" w14:textId="77777777" w:rsidR="00B601F0" w:rsidRDefault="00B601F0" w:rsidP="004D7654">
            <w:pPr>
              <w:rPr>
                <w:lang w:val="en-GB"/>
              </w:rPr>
            </w:pPr>
          </w:p>
          <w:p w14:paraId="70605853" w14:textId="77777777" w:rsidR="00B601F0" w:rsidRDefault="00B601F0" w:rsidP="004D7654">
            <w:pPr>
              <w:rPr>
                <w:lang w:val="en-GB"/>
              </w:rPr>
            </w:pPr>
          </w:p>
          <w:p w14:paraId="36AF0EE5" w14:textId="77777777" w:rsidR="00B601F0" w:rsidRDefault="00B601F0" w:rsidP="004D7654">
            <w:pPr>
              <w:rPr>
                <w:lang w:val="en-GB"/>
              </w:rPr>
            </w:pPr>
          </w:p>
          <w:p w14:paraId="3A10003C" w14:textId="77777777" w:rsidR="00B601F0" w:rsidRDefault="00B601F0" w:rsidP="004D7654">
            <w:pPr>
              <w:rPr>
                <w:lang w:val="en-GB"/>
              </w:rPr>
            </w:pPr>
            <w:r>
              <w:rPr>
                <w:lang w:val="en-GB"/>
              </w:rPr>
              <w:t xml:space="preserve">Extended from 29 December 2023 to </w:t>
            </w:r>
            <w:r w:rsidRPr="00284A07">
              <w:rPr>
                <w:b/>
                <w:bCs/>
                <w:lang w:val="en-GB"/>
              </w:rPr>
              <w:t>5 January 2024</w:t>
            </w:r>
          </w:p>
          <w:p w14:paraId="5668AD56" w14:textId="77777777" w:rsidR="00B601F0" w:rsidRDefault="00B601F0" w:rsidP="004D7654">
            <w:pPr>
              <w:rPr>
                <w:b/>
                <w:bCs/>
                <w:lang w:val="en-GB"/>
              </w:rPr>
            </w:pPr>
            <w:r>
              <w:rPr>
                <w:lang w:val="en-GB"/>
              </w:rPr>
              <w:t xml:space="preserve">Extended from 15 January to </w:t>
            </w:r>
            <w:r w:rsidRPr="00284A07">
              <w:rPr>
                <w:b/>
                <w:bCs/>
                <w:lang w:val="en-GB"/>
              </w:rPr>
              <w:t>22  January 2024</w:t>
            </w:r>
          </w:p>
          <w:p w14:paraId="6E615FFA" w14:textId="2D1A9495" w:rsidR="00B601F0" w:rsidRDefault="00B601F0" w:rsidP="004D7654">
            <w:pPr>
              <w:rPr>
                <w:lang w:val="en-GB"/>
              </w:rPr>
            </w:pPr>
            <w:r>
              <w:rPr>
                <w:b/>
                <w:bCs/>
                <w:lang w:val="en-GB"/>
              </w:rPr>
              <w:t>12 January 2024</w:t>
            </w:r>
          </w:p>
        </w:tc>
      </w:tr>
    </w:tbl>
    <w:p w14:paraId="7D6193D9" w14:textId="77777777" w:rsidR="007B2760" w:rsidRPr="006521ED" w:rsidRDefault="007B2760">
      <w:pPr>
        <w:rPr>
          <w:lang w:val="en-GB"/>
        </w:rPr>
      </w:pPr>
    </w:p>
    <w:sectPr w:rsidR="007B2760" w:rsidRPr="006521ED" w:rsidSect="00DF03E1">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E75905"/>
    <w:multiLevelType w:val="hybridMultilevel"/>
    <w:tmpl w:val="666CAF04"/>
    <w:lvl w:ilvl="0" w:tplc="FFFFFFFF">
      <w:start w:val="1"/>
      <w:numFmt w:val="decimal"/>
      <w:lvlText w:val="%1."/>
      <w:lvlJc w:val="left"/>
      <w:pPr>
        <w:ind w:left="720" w:hanging="360"/>
      </w:pPr>
      <w:rPr>
        <w:sz w:val="23"/>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1ED1739A"/>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27F264B"/>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57625DC"/>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831681A"/>
    <w:multiLevelType w:val="hybridMultilevel"/>
    <w:tmpl w:val="02A01E4A"/>
    <w:lvl w:ilvl="0" w:tplc="3A9246E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E102E28"/>
    <w:multiLevelType w:val="hybridMultilevel"/>
    <w:tmpl w:val="25102354"/>
    <w:lvl w:ilvl="0" w:tplc="3A9246E8">
      <w:start w:val="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18A1C47"/>
    <w:multiLevelType w:val="multilevel"/>
    <w:tmpl w:val="05B69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3C2278D"/>
    <w:multiLevelType w:val="hybridMultilevel"/>
    <w:tmpl w:val="A7666070"/>
    <w:lvl w:ilvl="0" w:tplc="041D0011">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A527F17"/>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ACC2B6F"/>
    <w:multiLevelType w:val="multilevel"/>
    <w:tmpl w:val="05B690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4AB70AE"/>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A4A2539"/>
    <w:multiLevelType w:val="hybridMultilevel"/>
    <w:tmpl w:val="666CAF04"/>
    <w:lvl w:ilvl="0" w:tplc="0809000F">
      <w:start w:val="1"/>
      <w:numFmt w:val="decimal"/>
      <w:lvlText w:val="%1."/>
      <w:lvlJc w:val="left"/>
      <w:pPr>
        <w:ind w:left="720" w:hanging="360"/>
      </w:pPr>
      <w:rPr>
        <w:sz w:val="23"/>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6678529E"/>
    <w:multiLevelType w:val="multilevel"/>
    <w:tmpl w:val="586A3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431060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40530681">
    <w:abstractNumId w:val="4"/>
  </w:num>
  <w:num w:numId="3" w16cid:durableId="1619602328">
    <w:abstractNumId w:val="5"/>
  </w:num>
  <w:num w:numId="4" w16cid:durableId="26181379">
    <w:abstractNumId w:val="11"/>
  </w:num>
  <w:num w:numId="5" w16cid:durableId="1812363517">
    <w:abstractNumId w:val="0"/>
  </w:num>
  <w:num w:numId="6" w16cid:durableId="177837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5494981">
    <w:abstractNumId w:val="6"/>
  </w:num>
  <w:num w:numId="8" w16cid:durableId="9867875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23461191">
    <w:abstractNumId w:val="1"/>
  </w:num>
  <w:num w:numId="10" w16cid:durableId="841434550">
    <w:abstractNumId w:val="2"/>
  </w:num>
  <w:num w:numId="11" w16cid:durableId="354115809">
    <w:abstractNumId w:val="3"/>
  </w:num>
  <w:num w:numId="12" w16cid:durableId="1893882180">
    <w:abstractNumId w:val="8"/>
  </w:num>
  <w:num w:numId="13" w16cid:durableId="157502069">
    <w:abstractNumId w:val="10"/>
  </w:num>
  <w:num w:numId="14" w16cid:durableId="1884753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A70"/>
    <w:rsid w:val="00001941"/>
    <w:rsid w:val="00005DB4"/>
    <w:rsid w:val="0000642C"/>
    <w:rsid w:val="00021AF4"/>
    <w:rsid w:val="00023C16"/>
    <w:rsid w:val="00035F4F"/>
    <w:rsid w:val="000661C9"/>
    <w:rsid w:val="0007780C"/>
    <w:rsid w:val="00081611"/>
    <w:rsid w:val="0009283A"/>
    <w:rsid w:val="00097C9E"/>
    <w:rsid w:val="000A2D71"/>
    <w:rsid w:val="000B58F5"/>
    <w:rsid w:val="000E2C12"/>
    <w:rsid w:val="000F0B79"/>
    <w:rsid w:val="000F6A16"/>
    <w:rsid w:val="001369A4"/>
    <w:rsid w:val="00144130"/>
    <w:rsid w:val="001654C4"/>
    <w:rsid w:val="001736DB"/>
    <w:rsid w:val="00196198"/>
    <w:rsid w:val="001A43CE"/>
    <w:rsid w:val="001B4988"/>
    <w:rsid w:val="001B7A55"/>
    <w:rsid w:val="001C1CF6"/>
    <w:rsid w:val="001D3833"/>
    <w:rsid w:val="001E4F54"/>
    <w:rsid w:val="001F4782"/>
    <w:rsid w:val="001F64AC"/>
    <w:rsid w:val="00255667"/>
    <w:rsid w:val="00266E84"/>
    <w:rsid w:val="00280F18"/>
    <w:rsid w:val="00281EB8"/>
    <w:rsid w:val="00284A07"/>
    <w:rsid w:val="002A4746"/>
    <w:rsid w:val="002B670C"/>
    <w:rsid w:val="002C39D4"/>
    <w:rsid w:val="002C7011"/>
    <w:rsid w:val="002C7BC7"/>
    <w:rsid w:val="002D309B"/>
    <w:rsid w:val="002E64C5"/>
    <w:rsid w:val="002F4A70"/>
    <w:rsid w:val="002F5A79"/>
    <w:rsid w:val="00306895"/>
    <w:rsid w:val="00311AA3"/>
    <w:rsid w:val="00326773"/>
    <w:rsid w:val="00333788"/>
    <w:rsid w:val="00345F9C"/>
    <w:rsid w:val="003A0BBA"/>
    <w:rsid w:val="003A0F6A"/>
    <w:rsid w:val="003A2590"/>
    <w:rsid w:val="003B4611"/>
    <w:rsid w:val="003B7CB9"/>
    <w:rsid w:val="003C22D1"/>
    <w:rsid w:val="003E663D"/>
    <w:rsid w:val="00403C6B"/>
    <w:rsid w:val="00413A96"/>
    <w:rsid w:val="00423A41"/>
    <w:rsid w:val="0043439E"/>
    <w:rsid w:val="00464C99"/>
    <w:rsid w:val="004666BB"/>
    <w:rsid w:val="00472EF7"/>
    <w:rsid w:val="0048030B"/>
    <w:rsid w:val="004927F0"/>
    <w:rsid w:val="004C716D"/>
    <w:rsid w:val="004D3BA2"/>
    <w:rsid w:val="004D72F8"/>
    <w:rsid w:val="004D7654"/>
    <w:rsid w:val="004E79B0"/>
    <w:rsid w:val="00500032"/>
    <w:rsid w:val="00532A6E"/>
    <w:rsid w:val="0053371E"/>
    <w:rsid w:val="0056115F"/>
    <w:rsid w:val="005771E4"/>
    <w:rsid w:val="005A5A75"/>
    <w:rsid w:val="005A6EE8"/>
    <w:rsid w:val="005B3B65"/>
    <w:rsid w:val="005C5CC1"/>
    <w:rsid w:val="005F0098"/>
    <w:rsid w:val="0060476B"/>
    <w:rsid w:val="006047F7"/>
    <w:rsid w:val="00607043"/>
    <w:rsid w:val="006076E0"/>
    <w:rsid w:val="0061151E"/>
    <w:rsid w:val="00611CC2"/>
    <w:rsid w:val="006148CB"/>
    <w:rsid w:val="0062143B"/>
    <w:rsid w:val="006312FD"/>
    <w:rsid w:val="00644FB9"/>
    <w:rsid w:val="006521ED"/>
    <w:rsid w:val="00654C2C"/>
    <w:rsid w:val="00657AB7"/>
    <w:rsid w:val="00660819"/>
    <w:rsid w:val="0066298B"/>
    <w:rsid w:val="00671107"/>
    <w:rsid w:val="0067496F"/>
    <w:rsid w:val="00674F77"/>
    <w:rsid w:val="0068491E"/>
    <w:rsid w:val="00693D76"/>
    <w:rsid w:val="006A635A"/>
    <w:rsid w:val="006B4250"/>
    <w:rsid w:val="006D7FA4"/>
    <w:rsid w:val="006E18E7"/>
    <w:rsid w:val="006F6767"/>
    <w:rsid w:val="006F6B55"/>
    <w:rsid w:val="006F7448"/>
    <w:rsid w:val="0073054A"/>
    <w:rsid w:val="007356E6"/>
    <w:rsid w:val="007845B3"/>
    <w:rsid w:val="007878D5"/>
    <w:rsid w:val="007A12D0"/>
    <w:rsid w:val="007A3C1A"/>
    <w:rsid w:val="007B2760"/>
    <w:rsid w:val="007C4FB2"/>
    <w:rsid w:val="007D11C0"/>
    <w:rsid w:val="007E31B6"/>
    <w:rsid w:val="00806A81"/>
    <w:rsid w:val="008127DA"/>
    <w:rsid w:val="00821012"/>
    <w:rsid w:val="00827568"/>
    <w:rsid w:val="00845292"/>
    <w:rsid w:val="00864D4B"/>
    <w:rsid w:val="00866262"/>
    <w:rsid w:val="0087347F"/>
    <w:rsid w:val="00890286"/>
    <w:rsid w:val="00893F34"/>
    <w:rsid w:val="008C485A"/>
    <w:rsid w:val="008C74C3"/>
    <w:rsid w:val="008D16E3"/>
    <w:rsid w:val="008F0AA6"/>
    <w:rsid w:val="00916BB5"/>
    <w:rsid w:val="00932224"/>
    <w:rsid w:val="00937DDE"/>
    <w:rsid w:val="009624CC"/>
    <w:rsid w:val="009971ED"/>
    <w:rsid w:val="009C5601"/>
    <w:rsid w:val="009D14C3"/>
    <w:rsid w:val="009D6C6D"/>
    <w:rsid w:val="009E25BE"/>
    <w:rsid w:val="009E7FA7"/>
    <w:rsid w:val="00A03D30"/>
    <w:rsid w:val="00A3452D"/>
    <w:rsid w:val="00A36BFB"/>
    <w:rsid w:val="00A37D70"/>
    <w:rsid w:val="00A77C7F"/>
    <w:rsid w:val="00A934BE"/>
    <w:rsid w:val="00AA236E"/>
    <w:rsid w:val="00AB57C8"/>
    <w:rsid w:val="00AC172D"/>
    <w:rsid w:val="00AC1CF8"/>
    <w:rsid w:val="00AE1B27"/>
    <w:rsid w:val="00AE3B9D"/>
    <w:rsid w:val="00AF18F8"/>
    <w:rsid w:val="00B25278"/>
    <w:rsid w:val="00B32AB6"/>
    <w:rsid w:val="00B350AD"/>
    <w:rsid w:val="00B46EFB"/>
    <w:rsid w:val="00B53908"/>
    <w:rsid w:val="00B57E4B"/>
    <w:rsid w:val="00B601F0"/>
    <w:rsid w:val="00B62765"/>
    <w:rsid w:val="00B6650C"/>
    <w:rsid w:val="00B72443"/>
    <w:rsid w:val="00B73259"/>
    <w:rsid w:val="00B81A78"/>
    <w:rsid w:val="00B87E46"/>
    <w:rsid w:val="00B90AAE"/>
    <w:rsid w:val="00BA0625"/>
    <w:rsid w:val="00BA50EC"/>
    <w:rsid w:val="00BA7D04"/>
    <w:rsid w:val="00BB476C"/>
    <w:rsid w:val="00BC1E43"/>
    <w:rsid w:val="00BC1E6F"/>
    <w:rsid w:val="00BC60FF"/>
    <w:rsid w:val="00BD3892"/>
    <w:rsid w:val="00C03B20"/>
    <w:rsid w:val="00C10F9C"/>
    <w:rsid w:val="00C14F24"/>
    <w:rsid w:val="00C20587"/>
    <w:rsid w:val="00C20FBF"/>
    <w:rsid w:val="00C37D47"/>
    <w:rsid w:val="00C4640A"/>
    <w:rsid w:val="00C610CD"/>
    <w:rsid w:val="00C65A6D"/>
    <w:rsid w:val="00C729F6"/>
    <w:rsid w:val="00C83A05"/>
    <w:rsid w:val="00CA42DC"/>
    <w:rsid w:val="00CB0FBB"/>
    <w:rsid w:val="00CB33A5"/>
    <w:rsid w:val="00CD5FAD"/>
    <w:rsid w:val="00CF3C54"/>
    <w:rsid w:val="00D0019A"/>
    <w:rsid w:val="00D00D33"/>
    <w:rsid w:val="00D768DC"/>
    <w:rsid w:val="00D82EBF"/>
    <w:rsid w:val="00D84F81"/>
    <w:rsid w:val="00DC3526"/>
    <w:rsid w:val="00DD2FF1"/>
    <w:rsid w:val="00DD66B1"/>
    <w:rsid w:val="00DF03E1"/>
    <w:rsid w:val="00DF61FB"/>
    <w:rsid w:val="00E07CB9"/>
    <w:rsid w:val="00E33299"/>
    <w:rsid w:val="00E346A8"/>
    <w:rsid w:val="00E65747"/>
    <w:rsid w:val="00E75273"/>
    <w:rsid w:val="00E8562A"/>
    <w:rsid w:val="00E92F5D"/>
    <w:rsid w:val="00EA6D2B"/>
    <w:rsid w:val="00EC559E"/>
    <w:rsid w:val="00EC74E9"/>
    <w:rsid w:val="00EE2759"/>
    <w:rsid w:val="00EE56CE"/>
    <w:rsid w:val="00F20BE4"/>
    <w:rsid w:val="00F240F8"/>
    <w:rsid w:val="00F3010A"/>
    <w:rsid w:val="00F43D49"/>
    <w:rsid w:val="00F55A08"/>
    <w:rsid w:val="00F67782"/>
    <w:rsid w:val="00F74D5E"/>
    <w:rsid w:val="00F90A45"/>
    <w:rsid w:val="00FA11F8"/>
    <w:rsid w:val="00FB132E"/>
    <w:rsid w:val="00FE45A0"/>
    <w:rsid w:val="00FE7709"/>
    <w:rsid w:val="00FF01B2"/>
    <w:rsid w:val="00FF56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335F3"/>
  <w15:chartTrackingRefBased/>
  <w15:docId w15:val="{392BDC40-2ADE-4D37-9E14-4F3375330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A6E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lt">
    <w:name w:val="fält"/>
    <w:basedOn w:val="DefaultParagraphFont"/>
    <w:rsid w:val="00306895"/>
    <w:rPr>
      <w:noProof w:val="0"/>
      <w:color w:val="auto"/>
      <w:lang w:val="sv-SE"/>
    </w:rPr>
  </w:style>
  <w:style w:type="paragraph" w:customStyle="1" w:styleId="elementtoproof">
    <w:name w:val="elementtoproof"/>
    <w:basedOn w:val="Normal"/>
    <w:rsid w:val="006521ED"/>
    <w:pPr>
      <w:spacing w:after="0" w:line="240" w:lineRule="auto"/>
    </w:pPr>
    <w:rPr>
      <w:rFonts w:ascii="Calibri" w:hAnsi="Calibri" w:cs="Calibri"/>
      <w:kern w:val="0"/>
      <w:lang w:eastAsia="fr-FR"/>
      <w14:ligatures w14:val="none"/>
    </w:rPr>
  </w:style>
  <w:style w:type="character" w:styleId="Hyperlink">
    <w:name w:val="Hyperlink"/>
    <w:basedOn w:val="DefaultParagraphFont"/>
    <w:uiPriority w:val="99"/>
    <w:semiHidden/>
    <w:unhideWhenUsed/>
    <w:rsid w:val="005C5CC1"/>
    <w:rPr>
      <w:color w:val="0563C1"/>
      <w:u w:val="single"/>
    </w:rPr>
  </w:style>
  <w:style w:type="paragraph" w:styleId="ListParagraph">
    <w:name w:val="List Paragraph"/>
    <w:basedOn w:val="Normal"/>
    <w:uiPriority w:val="34"/>
    <w:qFormat/>
    <w:rsid w:val="005C5CC1"/>
    <w:pPr>
      <w:spacing w:line="252" w:lineRule="auto"/>
      <w:ind w:left="720"/>
      <w:contextualSpacing/>
    </w:pPr>
    <w:rPr>
      <w:rFonts w:ascii="Calibri" w:hAnsi="Calibri" w:cs="Calibri"/>
      <w:kern w:val="0"/>
      <w:lang w:eastAsia="fr-FR"/>
    </w:rPr>
  </w:style>
  <w:style w:type="paragraph" w:customStyle="1" w:styleId="Default">
    <w:name w:val="Default"/>
    <w:basedOn w:val="Normal"/>
    <w:rsid w:val="005C5CC1"/>
    <w:pPr>
      <w:autoSpaceDE w:val="0"/>
      <w:autoSpaceDN w:val="0"/>
      <w:spacing w:after="0" w:line="240" w:lineRule="auto"/>
    </w:pPr>
    <w:rPr>
      <w:rFonts w:ascii="Arial" w:hAnsi="Arial" w:cs="Arial"/>
      <w:color w:val="000000"/>
      <w:kern w:val="0"/>
      <w:sz w:val="24"/>
      <w:szCs w:val="24"/>
      <w:lang w:eastAsia="fr-FR"/>
      <w14:ligatures w14:val="none"/>
    </w:rPr>
  </w:style>
  <w:style w:type="character" w:customStyle="1" w:styleId="ui-provider">
    <w:name w:val="ui-provider"/>
    <w:basedOn w:val="DefaultParagraphFont"/>
    <w:rsid w:val="00932224"/>
  </w:style>
  <w:style w:type="paragraph" w:styleId="Revision">
    <w:name w:val="Revision"/>
    <w:hidden/>
    <w:uiPriority w:val="99"/>
    <w:semiHidden/>
    <w:rsid w:val="00C610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57753">
      <w:bodyDiv w:val="1"/>
      <w:marLeft w:val="0"/>
      <w:marRight w:val="0"/>
      <w:marTop w:val="0"/>
      <w:marBottom w:val="0"/>
      <w:divBdr>
        <w:top w:val="none" w:sz="0" w:space="0" w:color="auto"/>
        <w:left w:val="none" w:sz="0" w:space="0" w:color="auto"/>
        <w:bottom w:val="none" w:sz="0" w:space="0" w:color="auto"/>
        <w:right w:val="none" w:sz="0" w:space="0" w:color="auto"/>
      </w:divBdr>
    </w:div>
    <w:div w:id="159123794">
      <w:bodyDiv w:val="1"/>
      <w:marLeft w:val="0"/>
      <w:marRight w:val="0"/>
      <w:marTop w:val="0"/>
      <w:marBottom w:val="0"/>
      <w:divBdr>
        <w:top w:val="none" w:sz="0" w:space="0" w:color="auto"/>
        <w:left w:val="none" w:sz="0" w:space="0" w:color="auto"/>
        <w:bottom w:val="none" w:sz="0" w:space="0" w:color="auto"/>
        <w:right w:val="none" w:sz="0" w:space="0" w:color="auto"/>
      </w:divBdr>
    </w:div>
    <w:div w:id="343290252">
      <w:bodyDiv w:val="1"/>
      <w:marLeft w:val="0"/>
      <w:marRight w:val="0"/>
      <w:marTop w:val="0"/>
      <w:marBottom w:val="0"/>
      <w:divBdr>
        <w:top w:val="none" w:sz="0" w:space="0" w:color="auto"/>
        <w:left w:val="none" w:sz="0" w:space="0" w:color="auto"/>
        <w:bottom w:val="none" w:sz="0" w:space="0" w:color="auto"/>
        <w:right w:val="none" w:sz="0" w:space="0" w:color="auto"/>
      </w:divBdr>
    </w:div>
    <w:div w:id="420682799">
      <w:bodyDiv w:val="1"/>
      <w:marLeft w:val="0"/>
      <w:marRight w:val="0"/>
      <w:marTop w:val="0"/>
      <w:marBottom w:val="0"/>
      <w:divBdr>
        <w:top w:val="none" w:sz="0" w:space="0" w:color="auto"/>
        <w:left w:val="none" w:sz="0" w:space="0" w:color="auto"/>
        <w:bottom w:val="none" w:sz="0" w:space="0" w:color="auto"/>
        <w:right w:val="none" w:sz="0" w:space="0" w:color="auto"/>
      </w:divBdr>
    </w:div>
    <w:div w:id="501317419">
      <w:bodyDiv w:val="1"/>
      <w:marLeft w:val="0"/>
      <w:marRight w:val="0"/>
      <w:marTop w:val="0"/>
      <w:marBottom w:val="0"/>
      <w:divBdr>
        <w:top w:val="none" w:sz="0" w:space="0" w:color="auto"/>
        <w:left w:val="none" w:sz="0" w:space="0" w:color="auto"/>
        <w:bottom w:val="none" w:sz="0" w:space="0" w:color="auto"/>
        <w:right w:val="none" w:sz="0" w:space="0" w:color="auto"/>
      </w:divBdr>
    </w:div>
    <w:div w:id="503782099">
      <w:bodyDiv w:val="1"/>
      <w:marLeft w:val="0"/>
      <w:marRight w:val="0"/>
      <w:marTop w:val="0"/>
      <w:marBottom w:val="0"/>
      <w:divBdr>
        <w:top w:val="none" w:sz="0" w:space="0" w:color="auto"/>
        <w:left w:val="none" w:sz="0" w:space="0" w:color="auto"/>
        <w:bottom w:val="none" w:sz="0" w:space="0" w:color="auto"/>
        <w:right w:val="none" w:sz="0" w:space="0" w:color="auto"/>
      </w:divBdr>
    </w:div>
    <w:div w:id="651832209">
      <w:bodyDiv w:val="1"/>
      <w:marLeft w:val="0"/>
      <w:marRight w:val="0"/>
      <w:marTop w:val="0"/>
      <w:marBottom w:val="0"/>
      <w:divBdr>
        <w:top w:val="none" w:sz="0" w:space="0" w:color="auto"/>
        <w:left w:val="none" w:sz="0" w:space="0" w:color="auto"/>
        <w:bottom w:val="none" w:sz="0" w:space="0" w:color="auto"/>
        <w:right w:val="none" w:sz="0" w:space="0" w:color="auto"/>
      </w:divBdr>
    </w:div>
    <w:div w:id="1121148742">
      <w:bodyDiv w:val="1"/>
      <w:marLeft w:val="0"/>
      <w:marRight w:val="0"/>
      <w:marTop w:val="0"/>
      <w:marBottom w:val="0"/>
      <w:divBdr>
        <w:top w:val="none" w:sz="0" w:space="0" w:color="auto"/>
        <w:left w:val="none" w:sz="0" w:space="0" w:color="auto"/>
        <w:bottom w:val="none" w:sz="0" w:space="0" w:color="auto"/>
        <w:right w:val="none" w:sz="0" w:space="0" w:color="auto"/>
      </w:divBdr>
    </w:div>
    <w:div w:id="1172185324">
      <w:bodyDiv w:val="1"/>
      <w:marLeft w:val="0"/>
      <w:marRight w:val="0"/>
      <w:marTop w:val="0"/>
      <w:marBottom w:val="0"/>
      <w:divBdr>
        <w:top w:val="none" w:sz="0" w:space="0" w:color="auto"/>
        <w:left w:val="none" w:sz="0" w:space="0" w:color="auto"/>
        <w:bottom w:val="none" w:sz="0" w:space="0" w:color="auto"/>
        <w:right w:val="none" w:sz="0" w:space="0" w:color="auto"/>
      </w:divBdr>
    </w:div>
    <w:div w:id="1229877228">
      <w:bodyDiv w:val="1"/>
      <w:marLeft w:val="0"/>
      <w:marRight w:val="0"/>
      <w:marTop w:val="0"/>
      <w:marBottom w:val="0"/>
      <w:divBdr>
        <w:top w:val="none" w:sz="0" w:space="0" w:color="auto"/>
        <w:left w:val="none" w:sz="0" w:space="0" w:color="auto"/>
        <w:bottom w:val="none" w:sz="0" w:space="0" w:color="auto"/>
        <w:right w:val="none" w:sz="0" w:space="0" w:color="auto"/>
      </w:divBdr>
    </w:div>
    <w:div w:id="1399589665">
      <w:bodyDiv w:val="1"/>
      <w:marLeft w:val="0"/>
      <w:marRight w:val="0"/>
      <w:marTop w:val="0"/>
      <w:marBottom w:val="0"/>
      <w:divBdr>
        <w:top w:val="none" w:sz="0" w:space="0" w:color="auto"/>
        <w:left w:val="none" w:sz="0" w:space="0" w:color="auto"/>
        <w:bottom w:val="none" w:sz="0" w:space="0" w:color="auto"/>
        <w:right w:val="none" w:sz="0" w:space="0" w:color="auto"/>
      </w:divBdr>
    </w:div>
    <w:div w:id="1696690536">
      <w:bodyDiv w:val="1"/>
      <w:marLeft w:val="0"/>
      <w:marRight w:val="0"/>
      <w:marTop w:val="0"/>
      <w:marBottom w:val="0"/>
      <w:divBdr>
        <w:top w:val="none" w:sz="0" w:space="0" w:color="auto"/>
        <w:left w:val="none" w:sz="0" w:space="0" w:color="auto"/>
        <w:bottom w:val="none" w:sz="0" w:space="0" w:color="auto"/>
        <w:right w:val="none" w:sz="0" w:space="0" w:color="auto"/>
      </w:divBdr>
    </w:div>
    <w:div w:id="1713580962">
      <w:bodyDiv w:val="1"/>
      <w:marLeft w:val="0"/>
      <w:marRight w:val="0"/>
      <w:marTop w:val="0"/>
      <w:marBottom w:val="0"/>
      <w:divBdr>
        <w:top w:val="none" w:sz="0" w:space="0" w:color="auto"/>
        <w:left w:val="none" w:sz="0" w:space="0" w:color="auto"/>
        <w:bottom w:val="none" w:sz="0" w:space="0" w:color="auto"/>
        <w:right w:val="none" w:sz="0" w:space="0" w:color="auto"/>
      </w:divBdr>
    </w:div>
    <w:div w:id="1740901223">
      <w:bodyDiv w:val="1"/>
      <w:marLeft w:val="0"/>
      <w:marRight w:val="0"/>
      <w:marTop w:val="0"/>
      <w:marBottom w:val="0"/>
      <w:divBdr>
        <w:top w:val="none" w:sz="0" w:space="0" w:color="auto"/>
        <w:left w:val="none" w:sz="0" w:space="0" w:color="auto"/>
        <w:bottom w:val="none" w:sz="0" w:space="0" w:color="auto"/>
        <w:right w:val="none" w:sz="0" w:space="0" w:color="auto"/>
      </w:divBdr>
    </w:div>
    <w:div w:id="1851139260">
      <w:bodyDiv w:val="1"/>
      <w:marLeft w:val="0"/>
      <w:marRight w:val="0"/>
      <w:marTop w:val="0"/>
      <w:marBottom w:val="0"/>
      <w:divBdr>
        <w:top w:val="none" w:sz="0" w:space="0" w:color="auto"/>
        <w:left w:val="none" w:sz="0" w:space="0" w:color="auto"/>
        <w:bottom w:val="none" w:sz="0" w:space="0" w:color="auto"/>
        <w:right w:val="none" w:sz="0" w:space="0" w:color="auto"/>
      </w:divBdr>
    </w:div>
    <w:div w:id="1856118388">
      <w:bodyDiv w:val="1"/>
      <w:marLeft w:val="0"/>
      <w:marRight w:val="0"/>
      <w:marTop w:val="0"/>
      <w:marBottom w:val="0"/>
      <w:divBdr>
        <w:top w:val="none" w:sz="0" w:space="0" w:color="auto"/>
        <w:left w:val="none" w:sz="0" w:space="0" w:color="auto"/>
        <w:bottom w:val="none" w:sz="0" w:space="0" w:color="auto"/>
        <w:right w:val="none" w:sz="0" w:space="0" w:color="auto"/>
      </w:divBdr>
    </w:div>
    <w:div w:id="1880166313">
      <w:bodyDiv w:val="1"/>
      <w:marLeft w:val="0"/>
      <w:marRight w:val="0"/>
      <w:marTop w:val="0"/>
      <w:marBottom w:val="0"/>
      <w:divBdr>
        <w:top w:val="none" w:sz="0" w:space="0" w:color="auto"/>
        <w:left w:val="none" w:sz="0" w:space="0" w:color="auto"/>
        <w:bottom w:val="none" w:sz="0" w:space="0" w:color="auto"/>
        <w:right w:val="none" w:sz="0" w:space="0" w:color="auto"/>
      </w:divBdr>
    </w:div>
    <w:div w:id="1962763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551</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Breyer</dc:creator>
  <cp:keywords/>
  <dc:description/>
  <cp:lastModifiedBy>Linda Gjermani</cp:lastModifiedBy>
  <cp:revision>2</cp:revision>
  <dcterms:created xsi:type="dcterms:W3CDTF">2023-12-22T11:27:00Z</dcterms:created>
  <dcterms:modified xsi:type="dcterms:W3CDTF">2023-12-22T11:27:00Z</dcterms:modified>
</cp:coreProperties>
</file>